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611A1">
      <w:pPr>
        <w:pStyle w:val="14"/>
        <w:keepNext w:val="0"/>
        <w:keepLines w:val="0"/>
        <w:pageBreakBefore w:val="0"/>
        <w:kinsoku/>
        <w:wordWrap/>
        <w:overflowPunct/>
        <w:topLinePunct w:val="0"/>
        <w:autoSpaceDE/>
        <w:autoSpaceDN/>
        <w:bidi w:val="0"/>
        <w:adjustRightInd w:val="0"/>
        <w:snapToGrid w:val="0"/>
        <w:spacing w:line="0" w:lineRule="atLeast"/>
        <w:ind w:left="0" w:firstLine="0" w:firstLineChars="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采购需求</w:t>
      </w:r>
    </w:p>
    <w:p w14:paraId="355849DA">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项目编号：myzhcg2025-037</w:t>
      </w:r>
    </w:p>
    <w:p w14:paraId="6D09BAAC">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项目名称：救护车车载医疗设备采购项目</w:t>
      </w:r>
    </w:p>
    <w:p w14:paraId="42B0CCF4">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评选办法：综合评分法</w:t>
      </w:r>
    </w:p>
    <w:p w14:paraId="1B44D86A">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采购包预算金额（元）:</w:t>
      </w:r>
      <w:r>
        <w:rPr>
          <w:rFonts w:hint="eastAsia" w:ascii="宋体" w:hAnsi="宋体" w:eastAsia="宋体" w:cs="宋体"/>
          <w:sz w:val="21"/>
          <w:szCs w:val="21"/>
          <w:lang w:val="en-US" w:eastAsia="zh-CN"/>
        </w:rPr>
        <w:t>192000</w:t>
      </w:r>
    </w:p>
    <w:p w14:paraId="058ED6CB">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采购包最高限价（元）:</w:t>
      </w:r>
      <w:r>
        <w:rPr>
          <w:rFonts w:hint="eastAsia" w:ascii="宋体" w:hAnsi="宋体" w:eastAsia="宋体" w:cs="宋体"/>
          <w:sz w:val="21"/>
          <w:szCs w:val="21"/>
          <w:lang w:val="en-US" w:eastAsia="zh-CN"/>
        </w:rPr>
        <w:t>192000</w:t>
      </w:r>
    </w:p>
    <w:p w14:paraId="00C79902">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供应商报价不允许超过标的金额</w:t>
      </w:r>
      <w:r>
        <w:rPr>
          <w:rFonts w:hint="eastAsia" w:ascii="宋体" w:hAnsi="宋体" w:eastAsia="宋体" w:cs="宋体"/>
          <w:sz w:val="21"/>
          <w:szCs w:val="21"/>
          <w:lang w:eastAsia="zh-CN"/>
        </w:rPr>
        <w:t>；</w:t>
      </w:r>
      <w:r>
        <w:rPr>
          <w:rFonts w:hint="eastAsia" w:ascii="宋体" w:hAnsi="宋体" w:eastAsia="宋体" w:cs="宋体"/>
          <w:sz w:val="21"/>
          <w:szCs w:val="21"/>
        </w:rPr>
        <w:t>供应商报价不允许超过标的单价</w:t>
      </w:r>
    </w:p>
    <w:tbl>
      <w:tblPr>
        <w:tblStyle w:val="11"/>
        <w:tblW w:w="501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9"/>
        <w:gridCol w:w="2031"/>
        <w:gridCol w:w="1005"/>
        <w:gridCol w:w="1741"/>
        <w:gridCol w:w="1741"/>
        <w:gridCol w:w="1267"/>
      </w:tblGrid>
      <w:tr w14:paraId="3009C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6" w:hRule="atLeast"/>
          <w:jc w:val="center"/>
        </w:trPr>
        <w:tc>
          <w:tcPr>
            <w:tcW w:w="449" w:type="pct"/>
            <w:vAlign w:val="center"/>
          </w:tcPr>
          <w:p w14:paraId="53AA9D89">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86" w:type="pct"/>
            <w:vAlign w:val="center"/>
          </w:tcPr>
          <w:p w14:paraId="7FE15C8F">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标的名称</w:t>
            </w:r>
          </w:p>
        </w:tc>
        <w:tc>
          <w:tcPr>
            <w:tcW w:w="587" w:type="pct"/>
            <w:vAlign w:val="center"/>
          </w:tcPr>
          <w:p w14:paraId="4997B956">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017" w:type="pct"/>
            <w:vAlign w:val="center"/>
          </w:tcPr>
          <w:p w14:paraId="6B240025">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单价（元）</w:t>
            </w:r>
          </w:p>
        </w:tc>
        <w:tc>
          <w:tcPr>
            <w:tcW w:w="1017" w:type="pct"/>
            <w:vAlign w:val="center"/>
          </w:tcPr>
          <w:p w14:paraId="12FD1C57">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标的金额 （元）</w:t>
            </w:r>
          </w:p>
        </w:tc>
        <w:tc>
          <w:tcPr>
            <w:tcW w:w="740" w:type="pct"/>
            <w:vAlign w:val="center"/>
          </w:tcPr>
          <w:p w14:paraId="4A434FDF">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计量单位</w:t>
            </w:r>
          </w:p>
        </w:tc>
      </w:tr>
      <w:tr w14:paraId="44F82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1" w:hRule="atLeast"/>
          <w:jc w:val="center"/>
        </w:trPr>
        <w:tc>
          <w:tcPr>
            <w:tcW w:w="449" w:type="pct"/>
            <w:vAlign w:val="center"/>
          </w:tcPr>
          <w:p w14:paraId="3C5A9563">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86" w:type="pct"/>
            <w:vAlign w:val="center"/>
          </w:tcPr>
          <w:p w14:paraId="03130C40">
            <w:pPr>
              <w:keepNext w:val="0"/>
              <w:keepLines w:val="0"/>
              <w:widowControl/>
              <w:suppressLineNumbers w:val="0"/>
              <w:jc w:val="center"/>
              <w:rPr>
                <w:rFonts w:hint="default" w:ascii="宋体" w:hAnsi="宋体" w:eastAsia="宋体" w:cs="宋体"/>
                <w:sz w:val="21"/>
                <w:szCs w:val="21"/>
                <w:lang w:val="en-US" w:eastAsia="zh-CN"/>
              </w:rPr>
            </w:pPr>
            <w:r>
              <w:rPr>
                <w:rFonts w:ascii="*KSOMHPADTR0_22_0" w:hAnsi="*KSOMHPADTR0_22_0" w:eastAsia="*KSOMHPADTR0_22_0" w:cs="*KSOMHPADTR0_22_0"/>
                <w:color w:val="000000"/>
                <w:kern w:val="0"/>
                <w:sz w:val="21"/>
                <w:szCs w:val="21"/>
                <w:lang w:val="en-US" w:eastAsia="zh-CN" w:bidi="ar"/>
              </w:rPr>
              <w:t>呼</w:t>
            </w:r>
            <w:r>
              <w:rPr>
                <w:rFonts w:hint="default" w:ascii="*KSOMHPADTR0_22_0" w:hAnsi="*KSOMHPADTR0_22_0" w:eastAsia="*KSOMHPADTR0_22_0" w:cs="*KSOMHPADTR0_22_0"/>
                <w:color w:val="000000"/>
                <w:kern w:val="0"/>
                <w:sz w:val="21"/>
                <w:szCs w:val="21"/>
                <w:lang w:val="en-US" w:eastAsia="zh-CN" w:bidi="ar"/>
              </w:rPr>
              <w:t>吸</w:t>
            </w:r>
            <w:r>
              <w:rPr>
                <w:rFonts w:hint="default" w:ascii="*KSOMHPADTR0_22_0" w:hAnsi="*KSOMHPADTR0_22_0" w:eastAsia="*KSOMHPADTR0_22_0" w:cs="*KSOMHPADTR0_22_0"/>
                <w:color w:val="000000"/>
                <w:kern w:val="0"/>
                <w:sz w:val="22"/>
                <w:szCs w:val="22"/>
                <w:lang w:val="en-US" w:eastAsia="zh-CN" w:bidi="ar"/>
              </w:rPr>
              <w:t>机</w:t>
            </w:r>
          </w:p>
        </w:tc>
        <w:tc>
          <w:tcPr>
            <w:tcW w:w="587" w:type="pct"/>
            <w:vAlign w:val="center"/>
          </w:tcPr>
          <w:p w14:paraId="55E4771D">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17" w:type="pct"/>
            <w:vAlign w:val="center"/>
          </w:tcPr>
          <w:p w14:paraId="070A171F">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80000</w:t>
            </w:r>
          </w:p>
        </w:tc>
        <w:tc>
          <w:tcPr>
            <w:tcW w:w="1741" w:type="dxa"/>
            <w:shd w:val="clear" w:color="auto" w:fill="auto"/>
            <w:vAlign w:val="center"/>
          </w:tcPr>
          <w:p w14:paraId="211C38E0">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80000</w:t>
            </w:r>
          </w:p>
        </w:tc>
        <w:tc>
          <w:tcPr>
            <w:tcW w:w="740" w:type="pct"/>
            <w:vAlign w:val="center"/>
          </w:tcPr>
          <w:p w14:paraId="5A2480E7">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r>
      <w:tr w14:paraId="5AAC9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1" w:hRule="atLeast"/>
          <w:jc w:val="center"/>
        </w:trPr>
        <w:tc>
          <w:tcPr>
            <w:tcW w:w="449" w:type="pct"/>
            <w:vAlign w:val="center"/>
          </w:tcPr>
          <w:p w14:paraId="7D02DFF7">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86" w:type="pct"/>
            <w:vAlign w:val="center"/>
          </w:tcPr>
          <w:p w14:paraId="7B09D247">
            <w:pPr>
              <w:keepNext w:val="0"/>
              <w:keepLines w:val="0"/>
              <w:widowControl/>
              <w:suppressLineNumbers w:val="0"/>
              <w:jc w:val="center"/>
              <w:rPr>
                <w:rFonts w:hint="eastAsia" w:ascii="宋体" w:hAnsi="宋体" w:eastAsia="宋体" w:cs="宋体"/>
                <w:b w:val="0"/>
                <w:bCs w:val="0"/>
                <w:sz w:val="21"/>
                <w:szCs w:val="21"/>
                <w:lang w:val="en-US" w:eastAsia="zh-CN"/>
              </w:rPr>
            </w:pPr>
            <w:r>
              <w:rPr>
                <w:rFonts w:ascii="*KSOMHPADTR0_22_0" w:hAnsi="*KSOMHPADTR0_22_0" w:eastAsia="*KSOMHPADTR0_22_0" w:cs="*KSOMHPADTR0_22_0"/>
                <w:color w:val="000000"/>
                <w:kern w:val="0"/>
                <w:sz w:val="22"/>
                <w:szCs w:val="22"/>
                <w:lang w:val="en-US" w:eastAsia="zh-CN" w:bidi="ar"/>
              </w:rPr>
              <w:t>除颠仪</w:t>
            </w:r>
          </w:p>
        </w:tc>
        <w:tc>
          <w:tcPr>
            <w:tcW w:w="587" w:type="pct"/>
            <w:vAlign w:val="center"/>
          </w:tcPr>
          <w:p w14:paraId="079C3F4C">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17" w:type="pct"/>
            <w:vAlign w:val="center"/>
          </w:tcPr>
          <w:p w14:paraId="059A8369">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55000</w:t>
            </w:r>
          </w:p>
        </w:tc>
        <w:tc>
          <w:tcPr>
            <w:tcW w:w="1741" w:type="dxa"/>
            <w:shd w:val="clear" w:color="auto" w:fill="auto"/>
            <w:vAlign w:val="center"/>
          </w:tcPr>
          <w:p w14:paraId="4C613D28">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55000</w:t>
            </w:r>
          </w:p>
        </w:tc>
        <w:tc>
          <w:tcPr>
            <w:tcW w:w="740" w:type="pct"/>
            <w:vAlign w:val="center"/>
          </w:tcPr>
          <w:p w14:paraId="26237E7F">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r>
      <w:tr w14:paraId="3F44A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1" w:hRule="atLeast"/>
          <w:jc w:val="center"/>
        </w:trPr>
        <w:tc>
          <w:tcPr>
            <w:tcW w:w="449" w:type="pct"/>
            <w:vAlign w:val="center"/>
          </w:tcPr>
          <w:p w14:paraId="0B40B5E9">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86" w:type="pct"/>
            <w:vAlign w:val="center"/>
          </w:tcPr>
          <w:p w14:paraId="60BEF8D7">
            <w:pPr>
              <w:keepNext w:val="0"/>
              <w:keepLines w:val="0"/>
              <w:widowControl/>
              <w:suppressLineNumbers w:val="0"/>
              <w:jc w:val="center"/>
              <w:rPr>
                <w:rFonts w:hint="eastAsia" w:ascii="宋体" w:hAnsi="宋体" w:eastAsia="宋体" w:cs="宋体"/>
                <w:b w:val="0"/>
                <w:bCs w:val="0"/>
                <w:sz w:val="21"/>
                <w:szCs w:val="21"/>
                <w:lang w:val="en-US" w:eastAsia="zh-CN"/>
              </w:rPr>
            </w:pPr>
            <w:r>
              <w:rPr>
                <w:rFonts w:ascii="*KSOMHPADTR0_22_0" w:hAnsi="*KSOMHPADTR0_22_0" w:eastAsia="*KSOMHPADTR0_22_0" w:cs="*KSOMHPADTR0_22_0"/>
                <w:color w:val="000000"/>
                <w:kern w:val="0"/>
                <w:sz w:val="22"/>
                <w:szCs w:val="22"/>
                <w:lang w:val="en-US" w:eastAsia="zh-CN" w:bidi="ar"/>
              </w:rPr>
              <w:t>心电图机</w:t>
            </w:r>
          </w:p>
        </w:tc>
        <w:tc>
          <w:tcPr>
            <w:tcW w:w="587" w:type="pct"/>
            <w:vAlign w:val="center"/>
          </w:tcPr>
          <w:p w14:paraId="062BA0A7">
            <w:pPr>
              <w:pStyle w:val="14"/>
              <w:keepNext w:val="0"/>
              <w:keepLines w:val="0"/>
              <w:pageBreakBefore w:val="0"/>
              <w:widowControl/>
              <w:tabs>
                <w:tab w:val="left" w:pos="380"/>
              </w:tabs>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17" w:type="pct"/>
            <w:vAlign w:val="center"/>
          </w:tcPr>
          <w:p w14:paraId="31D0A594">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30000</w:t>
            </w:r>
          </w:p>
        </w:tc>
        <w:tc>
          <w:tcPr>
            <w:tcW w:w="1741" w:type="dxa"/>
            <w:shd w:val="clear" w:color="auto" w:fill="auto"/>
            <w:vAlign w:val="center"/>
          </w:tcPr>
          <w:p w14:paraId="60567F89">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30000</w:t>
            </w:r>
          </w:p>
        </w:tc>
        <w:tc>
          <w:tcPr>
            <w:tcW w:w="740" w:type="pct"/>
            <w:vAlign w:val="center"/>
          </w:tcPr>
          <w:p w14:paraId="00E91E50">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r>
      <w:tr w14:paraId="116F4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1" w:hRule="atLeast"/>
          <w:jc w:val="center"/>
        </w:trPr>
        <w:tc>
          <w:tcPr>
            <w:tcW w:w="449" w:type="pct"/>
            <w:vAlign w:val="center"/>
          </w:tcPr>
          <w:p w14:paraId="08A537D1">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186" w:type="pct"/>
            <w:vAlign w:val="center"/>
          </w:tcPr>
          <w:p w14:paraId="570956D9">
            <w:pPr>
              <w:keepNext w:val="0"/>
              <w:keepLines w:val="0"/>
              <w:widowControl/>
              <w:suppressLineNumbers w:val="0"/>
              <w:jc w:val="center"/>
              <w:rPr>
                <w:rFonts w:hint="eastAsia" w:ascii="宋体" w:hAnsi="宋体" w:eastAsia="宋体" w:cs="宋体"/>
                <w:b w:val="0"/>
                <w:bCs w:val="0"/>
                <w:sz w:val="21"/>
                <w:szCs w:val="21"/>
                <w:lang w:val="en-US" w:eastAsia="zh-CN"/>
              </w:rPr>
            </w:pPr>
            <w:r>
              <w:rPr>
                <w:rFonts w:ascii="*KSOMHPADTR0_22_0" w:hAnsi="*KSOMHPADTR0_22_0" w:eastAsia="*KSOMHPADTR0_22_0" w:cs="*KSOMHPADTR0_22_0"/>
                <w:color w:val="000000"/>
                <w:kern w:val="0"/>
                <w:sz w:val="21"/>
                <w:szCs w:val="21"/>
                <w:lang w:val="en-US" w:eastAsia="zh-CN" w:bidi="ar"/>
              </w:rPr>
              <w:t>心电监护仪</w:t>
            </w:r>
          </w:p>
        </w:tc>
        <w:tc>
          <w:tcPr>
            <w:tcW w:w="587" w:type="pct"/>
            <w:vAlign w:val="center"/>
          </w:tcPr>
          <w:p w14:paraId="4B0661C2">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17" w:type="pct"/>
            <w:vAlign w:val="center"/>
          </w:tcPr>
          <w:p w14:paraId="48303EE4">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23000</w:t>
            </w:r>
          </w:p>
        </w:tc>
        <w:tc>
          <w:tcPr>
            <w:tcW w:w="1741" w:type="dxa"/>
            <w:shd w:val="clear" w:color="auto" w:fill="auto"/>
            <w:vAlign w:val="center"/>
          </w:tcPr>
          <w:p w14:paraId="09951232">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23000</w:t>
            </w:r>
          </w:p>
        </w:tc>
        <w:tc>
          <w:tcPr>
            <w:tcW w:w="740" w:type="pct"/>
            <w:vAlign w:val="center"/>
          </w:tcPr>
          <w:p w14:paraId="25FB1988">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r>
      <w:tr w14:paraId="58637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1" w:hRule="atLeast"/>
          <w:jc w:val="center"/>
        </w:trPr>
        <w:tc>
          <w:tcPr>
            <w:tcW w:w="449" w:type="pct"/>
            <w:vAlign w:val="center"/>
          </w:tcPr>
          <w:p w14:paraId="45F5DD62">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86" w:type="pct"/>
            <w:vAlign w:val="center"/>
          </w:tcPr>
          <w:p w14:paraId="4C059A6C">
            <w:pPr>
              <w:keepNext w:val="0"/>
              <w:keepLines w:val="0"/>
              <w:widowControl/>
              <w:suppressLineNumbers w:val="0"/>
              <w:jc w:val="center"/>
              <w:rPr>
                <w:rFonts w:hint="eastAsia" w:ascii="宋体" w:hAnsi="宋体" w:eastAsia="宋体" w:cs="宋体"/>
                <w:b w:val="0"/>
                <w:bCs w:val="0"/>
                <w:sz w:val="21"/>
                <w:szCs w:val="21"/>
                <w:lang w:val="en-US" w:eastAsia="zh-CN"/>
              </w:rPr>
            </w:pPr>
            <w:r>
              <w:rPr>
                <w:rFonts w:ascii="*KSOMHPADTR0_22_0" w:hAnsi="*KSOMHPADTR0_22_0" w:eastAsia="*KSOMHPADTR0_22_0" w:cs="*KSOMHPADTR0_22_0"/>
                <w:color w:val="000000"/>
                <w:kern w:val="0"/>
                <w:sz w:val="22"/>
                <w:szCs w:val="22"/>
                <w:lang w:val="en-US" w:eastAsia="zh-CN" w:bidi="ar"/>
              </w:rPr>
              <w:t>吸引器</w:t>
            </w:r>
          </w:p>
        </w:tc>
        <w:tc>
          <w:tcPr>
            <w:tcW w:w="587" w:type="pct"/>
            <w:vAlign w:val="center"/>
          </w:tcPr>
          <w:p w14:paraId="76F67E04">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17" w:type="pct"/>
            <w:vAlign w:val="center"/>
          </w:tcPr>
          <w:p w14:paraId="1DF584B3">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4000</w:t>
            </w:r>
          </w:p>
        </w:tc>
        <w:tc>
          <w:tcPr>
            <w:tcW w:w="1741" w:type="dxa"/>
            <w:shd w:val="clear" w:color="auto" w:fill="auto"/>
            <w:vAlign w:val="center"/>
          </w:tcPr>
          <w:p w14:paraId="2C0EF0E5">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w:t>
            </w:r>
          </w:p>
        </w:tc>
        <w:tc>
          <w:tcPr>
            <w:tcW w:w="740" w:type="pct"/>
            <w:vAlign w:val="center"/>
          </w:tcPr>
          <w:p w14:paraId="5986143F">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r>
    </w:tbl>
    <w:p w14:paraId="398B50AE">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sz w:val="21"/>
          <w:szCs w:val="21"/>
        </w:rPr>
      </w:pPr>
    </w:p>
    <w:p w14:paraId="5ABFB439">
      <w:pPr>
        <w:keepNext w:val="0"/>
        <w:keepLines w:val="0"/>
        <w:pageBreakBefore w:val="0"/>
        <w:kinsoku/>
        <w:wordWrap/>
        <w:overflowPunct/>
        <w:topLinePunct w:val="0"/>
        <w:autoSpaceDE/>
        <w:autoSpaceDN/>
        <w:bidi w:val="0"/>
        <w:adjustRightInd w:val="0"/>
        <w:snapToGrid w:val="0"/>
        <w:spacing w:line="0" w:lineRule="atLeast"/>
        <w:ind w:left="0" w:firstLine="0" w:firstLineChars="0"/>
        <w:contextualSpacing/>
        <w:jc w:val="center"/>
        <w:textAlignment w:val="auto"/>
        <w:outlineLvl w:val="0"/>
        <w:rPr>
          <w:rFonts w:hint="eastAsia" w:ascii="宋体" w:hAnsi="宋体" w:eastAsia="宋体" w:cs="宋体"/>
          <w:b/>
          <w:bCs/>
          <w:sz w:val="21"/>
          <w:szCs w:val="21"/>
        </w:rPr>
      </w:pPr>
      <w:r>
        <w:rPr>
          <w:rFonts w:hint="eastAsia" w:ascii="宋体" w:hAnsi="宋体" w:eastAsia="宋体" w:cs="宋体"/>
          <w:b/>
          <w:bCs/>
          <w:sz w:val="21"/>
          <w:szCs w:val="21"/>
        </w:rPr>
        <w:t>技术标准和要求</w:t>
      </w:r>
    </w:p>
    <w:p w14:paraId="1B79A485">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b/>
          <w:bCs/>
          <w:color w:val="000000"/>
          <w:kern w:val="0"/>
          <w:sz w:val="20"/>
          <w:szCs w:val="20"/>
          <w:u w:val="single"/>
          <w:lang w:val="en-US" w:eastAsia="zh-CN" w:bidi="ar"/>
        </w:rPr>
      </w:pPr>
      <w:r>
        <w:rPr>
          <w:rFonts w:hint="eastAsia" w:asciiTheme="minorEastAsia" w:hAnsiTheme="minorEastAsia" w:eastAsiaTheme="minorEastAsia" w:cstheme="minorEastAsia"/>
          <w:b/>
          <w:bCs/>
          <w:color w:val="auto"/>
          <w:sz w:val="20"/>
          <w:szCs w:val="20"/>
          <w:highlight w:val="none"/>
          <w:u w:val="single"/>
          <w:lang w:val="en-US" w:eastAsia="zh-CN"/>
        </w:rPr>
        <w:t>1</w:t>
      </w:r>
      <w:r>
        <w:rPr>
          <w:rFonts w:hint="eastAsia" w:asciiTheme="minorEastAsia" w:hAnsiTheme="minorEastAsia" w:eastAsiaTheme="minorEastAsia" w:cstheme="minorEastAsia"/>
          <w:b/>
          <w:bCs/>
          <w:color w:val="000000"/>
          <w:kern w:val="0"/>
          <w:sz w:val="20"/>
          <w:szCs w:val="20"/>
          <w:u w:val="single"/>
          <w:lang w:val="en-US" w:eastAsia="zh-CN" w:bidi="ar"/>
        </w:rPr>
        <w:t>呼吸机</w:t>
      </w:r>
    </w:p>
    <w:p w14:paraId="7480B9AD">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一、技术参数</w:t>
      </w:r>
    </w:p>
    <w:p w14:paraId="4AA16AB2">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1.气动电控型呼吸机</w:t>
      </w:r>
    </w:p>
    <w:p w14:paraId="7FF21D71">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2.具备中文语音导航和报警功能</w:t>
      </w:r>
    </w:p>
    <w:p w14:paraId="1E0F0A91">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3.具有一键通气功能，可快速设定幼儿、儿童和成人模式，进入抢救状态</w:t>
      </w:r>
    </w:p>
    <w:p w14:paraId="2287C240">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★4.高清彩色液晶屏（阳光下可视），尺寸≥7英寸</w:t>
      </w:r>
    </w:p>
    <w:p w14:paraId="3789BA2D">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5.控制模式：时间切换、容量控制、压力限制</w:t>
      </w:r>
    </w:p>
    <w:p w14:paraId="334CD494">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6.呼吸模式：IPPV、A/C、A/C+Sigh、 Spn-CPAP、SIMV、Manual、PCV</w:t>
      </w:r>
    </w:p>
    <w:p w14:paraId="11E3AFF9">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7.主机重量：≤3.2Kg</w:t>
      </w:r>
    </w:p>
    <w:p w14:paraId="76440CFA">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8.工作压力：2.7～6.0bar</w:t>
      </w:r>
    </w:p>
    <w:p w14:paraId="6AF7BF31">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9.▲吸呼比：9:1~1:9可调</w:t>
      </w:r>
    </w:p>
    <w:p w14:paraId="73F8C0B5">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10.▲潮气量：50mL ～2500mL</w:t>
      </w:r>
    </w:p>
    <w:p w14:paraId="614CF8BB">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11.手动供气流量：1~60L/min</w:t>
      </w:r>
    </w:p>
    <w:p w14:paraId="18599448">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12.呼吸频率：1～95bpm</w:t>
      </w:r>
    </w:p>
    <w:p w14:paraId="0C0E32F2">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13.氧浓度调节范围：40~100%连续可调</w:t>
      </w:r>
    </w:p>
    <w:p w14:paraId="4E0D22C4">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14.气道限制压：4～60mbar可任意设置</w:t>
      </w:r>
    </w:p>
    <w:p w14:paraId="6AEB43F3">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15.气路系统安全压力：≤100mbar</w:t>
      </w:r>
    </w:p>
    <w:p w14:paraId="0852967E">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16.患者呼吸阀阻力：吸气阻力：≤6mbar，当流量为30、60L/min时</w:t>
      </w:r>
    </w:p>
    <w:p w14:paraId="72FCB003">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 xml:space="preserve">                    呼气阻力:  ≤6mbar，当流量为30、60L/min时</w:t>
      </w:r>
    </w:p>
    <w:p w14:paraId="4377885F">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 xml:space="preserve">                    自主呼吸阻力：≤6mbar，当流量为15、30L/min时</w:t>
      </w:r>
    </w:p>
    <w:p w14:paraId="74F98113">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二、其它</w:t>
      </w:r>
    </w:p>
    <w:p w14:paraId="7537B7DE">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1.监测指标：氧浓度、分钟通气量、潮气量、气道压力、P-T波形等</w:t>
      </w:r>
    </w:p>
    <w:p w14:paraId="7274C37A">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2.▲可充电锂电池，支持热插拔，充满电工作时间≥9小时</w:t>
      </w:r>
    </w:p>
    <w:p w14:paraId="1AA1A19E">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3.可升级呼吸末二氧化碳EtCO2监测功能</w:t>
      </w:r>
    </w:p>
    <w:p w14:paraId="05762018">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4.主机可以独立使用，或配备转运急救包使用，可手提、单肩背、可直接悬挂于担架车或病床上</w:t>
      </w:r>
    </w:p>
    <w:p w14:paraId="0318AB1F">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b/>
          <w:bCs/>
          <w:color w:val="000000"/>
          <w:kern w:val="0"/>
          <w:sz w:val="20"/>
          <w:szCs w:val="20"/>
          <w:u w:val="single"/>
          <w:lang w:val="en-US" w:eastAsia="zh-CN" w:bidi="ar"/>
        </w:rPr>
      </w:pPr>
      <w:r>
        <w:rPr>
          <w:rFonts w:hint="eastAsia" w:asciiTheme="minorEastAsia" w:hAnsiTheme="minorEastAsia" w:eastAsiaTheme="minorEastAsia" w:cstheme="minorEastAsia"/>
          <w:b/>
          <w:bCs/>
          <w:color w:val="000000"/>
          <w:kern w:val="0"/>
          <w:sz w:val="20"/>
          <w:szCs w:val="20"/>
          <w:u w:val="single"/>
          <w:lang w:val="en-US" w:eastAsia="zh-CN" w:bidi="ar"/>
        </w:rPr>
        <w:t>2除颠仪</w:t>
      </w:r>
    </w:p>
    <w:p w14:paraId="66D072BE">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1、重量：≤4.2kg（含电池）。</w:t>
      </w:r>
    </w:p>
    <w:p w14:paraId="1F0FC5AF">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2、彩色电容触摸屏≥8英寸, 分辨率1024×768像素，可显示≥5通道监护参数波形，支持手势操作、自动亮度调节。</w:t>
      </w:r>
    </w:p>
    <w:p w14:paraId="52109F64">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▲3、提供图形化故障排除指引，辅助医护人员解决设备故障。</w:t>
      </w:r>
    </w:p>
    <w:p w14:paraId="76F9B8BC">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4、支持中文操作界面。</w:t>
      </w:r>
    </w:p>
    <w:p w14:paraId="18996D09">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5.具备手动除颤、心电监护、呼吸监护、自动体外除颤（AED）功能，AED功能适用于29天以上人群。</w:t>
      </w:r>
    </w:p>
    <w:p w14:paraId="7DECFE95">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6.除颤采用双相波技术，具备自动阻抗补偿功能。</w:t>
      </w:r>
    </w:p>
    <w:p w14:paraId="2AFBD7AC">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7.开机到可正常使用时间≤2s，符合临床使用</w:t>
      </w:r>
    </w:p>
    <w:p w14:paraId="301FFD80">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8.除颤充电迅速，充电至200J≤4s。</w:t>
      </w:r>
    </w:p>
    <w:p w14:paraId="76E27982">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9.体外电极板支持病人接触状态显示。</w:t>
      </w:r>
    </w:p>
    <w:p w14:paraId="0A1E2264">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10.可选配基于脉搏氧波形分析的心肺复苏质量指数，实现无创、实时评估人工心肺复苏质量</w:t>
      </w:r>
    </w:p>
    <w:p w14:paraId="10EE62C8">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11.提供CPR按压干扰滤过功能，通过除颤电极片或CPR传感器自动检测按压干扰并实时滤波，减少按压中断。</w:t>
      </w:r>
    </w:p>
    <w:p w14:paraId="70E299EF">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▲12.抢救结束后自动生成抢救报告，并可通过网络将除颤和按压数据自动上传至急救数据分析系统；急救数据分析系统提供抢救数据复盘、分析工具。（提供说明书彩页或检验报告证明或官方宣传资料证明）</w:t>
      </w:r>
    </w:p>
    <w:p w14:paraId="5976B882">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▲13.支持培训模式，包含CPR操作培训、抢救操作培训；可提供培训考核系统，支持多台设备同时接入进行在线培训、考核。</w:t>
      </w:r>
    </w:p>
    <w:p w14:paraId="582D1234">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14.支持连接中央站，与科室床旁监护仪共用监护网络。</w:t>
      </w:r>
    </w:p>
    <w:p w14:paraId="14D29643">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▲15.支持通过中央站远程修改病人信息和系统时间同步。</w:t>
      </w:r>
    </w:p>
    <w:p w14:paraId="549B3691">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16.具备生理报警和技术报警功能，通过声音、文字和灯光3种方式进行报警。</w:t>
      </w:r>
    </w:p>
    <w:p w14:paraId="0703393F">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C00000"/>
          <w:sz w:val="20"/>
          <w:szCs w:val="20"/>
          <w:u w:val="single"/>
          <w:lang w:val="en-US" w:eastAsia="zh-CN"/>
        </w:rPr>
      </w:pPr>
      <w:r>
        <w:rPr>
          <w:rFonts w:hint="eastAsia" w:asciiTheme="minorEastAsia" w:hAnsiTheme="minorEastAsia" w:eastAsiaTheme="minorEastAsia" w:cstheme="minorEastAsia"/>
          <w:sz w:val="20"/>
          <w:szCs w:val="20"/>
          <w:lang w:val="en-US" w:eastAsia="zh-CN"/>
        </w:rPr>
        <w:t>17.配置50mm记录纸记录仪，可同时打印不少于3通道波形；自动打印除颤记录，单次波形记录时间最大不小于30s；支持连续波形记录。</w:t>
      </w:r>
    </w:p>
    <w:p w14:paraId="7210DF4F">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b/>
          <w:bCs/>
          <w:color w:val="000000"/>
          <w:kern w:val="0"/>
          <w:sz w:val="20"/>
          <w:szCs w:val="20"/>
          <w:u w:val="single"/>
          <w:lang w:val="en-US" w:eastAsia="zh-CN" w:bidi="ar"/>
        </w:rPr>
      </w:pPr>
      <w:r>
        <w:rPr>
          <w:rFonts w:hint="eastAsia" w:asciiTheme="minorEastAsia" w:hAnsiTheme="minorEastAsia" w:eastAsiaTheme="minorEastAsia" w:cstheme="minorEastAsia"/>
          <w:b/>
          <w:bCs/>
          <w:color w:val="000000"/>
          <w:kern w:val="0"/>
          <w:sz w:val="20"/>
          <w:szCs w:val="20"/>
          <w:u w:val="single"/>
          <w:lang w:val="en-US" w:eastAsia="zh-CN" w:bidi="ar"/>
        </w:rPr>
        <w:t>3心电图机</w:t>
      </w:r>
    </w:p>
    <w:p w14:paraId="306CA4D4">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1、基本要求</w:t>
      </w:r>
    </w:p>
    <w:p w14:paraId="6719E138">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1.1 显示屏≥10.0英寸，屏幕亮度可调，支持背景网格显示，支持全屏触控操作。</w:t>
      </w:r>
    </w:p>
    <w:p w14:paraId="01C29C4C">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★1.2 本机具有一体化标准物理全键盘设计，支持拼音、五笔等输入法，方便信息输入。</w:t>
      </w:r>
    </w:p>
    <w:p w14:paraId="0968F663">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1.3 患者信息录入：支持手动输入，条码枪、磁卡读卡器、身份证读卡器读取，WORKLIST快速下载排队预约的患者信息3种方式。</w:t>
      </w:r>
    </w:p>
    <w:p w14:paraId="4B2AA00C">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1.4 内置热敏点阵打印机，并支持通过有线/无线方式外接激光打印机打印A4报告，具备在无网格纸上打印网格功能；</w:t>
      </w:r>
    </w:p>
    <w:p w14:paraId="1B907207">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1.5 支持通过有线、无线、移动网络的方式进行联网，内置WIFI 模块，可支持2.4GHz/5GHz双频带传输；</w:t>
      </w:r>
    </w:p>
    <w:p w14:paraId="4EBBCA5A">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▲1.6 本机支持心电数据传输，可实现将本机采集的心电数据与心电网络平台的双向传输。</w:t>
      </w:r>
    </w:p>
    <w:p w14:paraId="5DAFA2DB">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1.7 支持PDF、PNG、HL7、XML、DICOM等数据格式。支持FTP、HTTP、SAMBA等传输协议。</w:t>
      </w:r>
    </w:p>
    <w:p w14:paraId="306011AA">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2、性能要求</w:t>
      </w:r>
    </w:p>
    <w:p w14:paraId="1B016A4B">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▲2.1 A/D转换：24bit，采样率：≥60000Hz，频率响应：0.01Hz ~ 550Hz，内部噪声：≤13µVp-p</w:t>
      </w:r>
    </w:p>
    <w:p w14:paraId="18E1308E">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2.2 输入阻抗：≥100MΩ</w:t>
      </w:r>
    </w:p>
    <w:p w14:paraId="3F63FF0A">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▲2.3  时间常数：≥10s，耐极化电压：≥±1070mV</w:t>
      </w:r>
    </w:p>
    <w:p w14:paraId="2012B22D">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 xml:space="preserve">2.4 抗干扰滤波：具有交流、肌电、漂移和低通滤波器。 </w:t>
      </w:r>
    </w:p>
    <w:p w14:paraId="7B82C3AD">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2.5 具备自适应工频滤波技术，有效去除干扰，改善心电信号质量。</w:t>
      </w:r>
    </w:p>
    <w:p w14:paraId="16056196">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2.6 除颤保护：机器和导联线具有抗除颤电击保护功能。</w:t>
      </w:r>
    </w:p>
    <w:p w14:paraId="54C32508">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3、功能要求</w:t>
      </w:r>
    </w:p>
    <w:p w14:paraId="33635666">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3.1  ECG输入通道：标准12导联心电信号同步采集。</w:t>
      </w:r>
    </w:p>
    <w:p w14:paraId="04BCF8FD">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3.2  导联选择：手动/自动可选，支持标准威尔逊、Cabrera、Nehb导联体系，同时具备导联标识自定义功能。</w:t>
      </w:r>
    </w:p>
    <w:p w14:paraId="636540DA">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3.3  采集时间设置：波形实时采集达360s，便于医生精确选择和记录特定时间段的心电波形。</w:t>
      </w:r>
    </w:p>
    <w:p w14:paraId="60C4C20D">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3.4  支持实时采样、预采样、触发采样、周期采样模式，支持节律分析。</w:t>
      </w:r>
    </w:p>
    <w:p w14:paraId="1100DA0D">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3.5  可同屏显示12导同步心电波形，同时支持12*1、3*4、3*4+1R、3*4+3R、6*2、6*2+1R、6*2+3R等多种显示布局。</w:t>
      </w:r>
    </w:p>
    <w:p w14:paraId="3D81CBD6">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3.6  屏幕显示信息：心电波形、时间、心率、ID、工作状态、导联脱落信息、联网状态信息、外接设备状态信息等。</w:t>
      </w:r>
    </w:p>
    <w:p w14:paraId="72203C5D">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3.7 自动异常报警功能：可自动对异常心率、导联脱落、外设连接、高频信号干扰情况进行实时监测报警。</w:t>
      </w:r>
    </w:p>
    <w:p w14:paraId="65560D26">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3.8 热敏打印布局：3*4、3*4+1R、3*4+3R、6*2、6*2+1R、6*2+3R、12*1。</w:t>
      </w:r>
    </w:p>
    <w:p w14:paraId="6737828C">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3.9 热敏记录纸：折叠纸。</w:t>
      </w:r>
    </w:p>
    <w:p w14:paraId="374C82BA">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3.10 设备内置存储器，本机可存储病历≥20000例，存储满后机器可循环存储，支持扩展存储及数据导出。</w:t>
      </w:r>
    </w:p>
    <w:p w14:paraId="42E0617A">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3.11支持U盘和SD卡直接导出不同格式的报告。</w:t>
      </w:r>
    </w:p>
    <w:p w14:paraId="31942127">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 xml:space="preserve">3.12支持波形冻结与波形浏览功能。 </w:t>
      </w:r>
    </w:p>
    <w:p w14:paraId="4306A982">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3.13 具有病历管理功能，可对存储的病历进行查询、浏览、修改、导出、传输、打印，方便医生调阅病人信息，并且支持病例重新编辑，具备病例模板与自定义病例模板的添加功能，方便医生在屏诊断时快速输入诊断结论。</w:t>
      </w:r>
    </w:p>
    <w:p w14:paraId="5DA059F8">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3.14  具有权限管理，可对设置权限进行密码管控，包含传输、纸速、增益、报告模板等设置。</w:t>
      </w:r>
    </w:p>
    <w:p w14:paraId="0B0D5FAF">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3.15  支持快速模式，采集与打印同步，减少等待采集时间，提高出报告效率。</w:t>
      </w:r>
    </w:p>
    <w:p w14:paraId="1C68798E">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3.16  具有导联信号质量检测功能，以不同颜色标记信号质量，提醒医生对相应导联进行处理。</w:t>
      </w:r>
    </w:p>
    <w:p w14:paraId="1DCCC800">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3.17 支持导联接反检测，如：左右手接反时，提示导联接反，方便及时纠正。可选配向量、时间向量功能。</w:t>
      </w:r>
    </w:p>
    <w:p w14:paraId="3FFE55D1">
      <w:pPr>
        <w:pStyle w:val="3"/>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4、电源</w:t>
      </w:r>
    </w:p>
    <w:p w14:paraId="4D234BF7">
      <w:pPr>
        <w:pStyle w:val="3"/>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交直流两用且自动转换，电源要求100-24</w:t>
      </w:r>
      <w:bookmarkStart w:id="0" w:name="_GoBack"/>
      <w:bookmarkEnd w:id="0"/>
      <w:r>
        <w:rPr>
          <w:rFonts w:hint="eastAsia" w:asciiTheme="minorEastAsia" w:hAnsiTheme="minorEastAsia" w:eastAsiaTheme="minorEastAsia" w:cstheme="minorEastAsia"/>
          <w:sz w:val="20"/>
          <w:szCs w:val="20"/>
          <w:lang w:val="en-US" w:eastAsia="zh-CN"/>
        </w:rPr>
        <w:t>0V（50/60Hz）， 内置锂电池充满电后可连续工作6小时以上。</w:t>
      </w:r>
    </w:p>
    <w:p w14:paraId="0BCFD447">
      <w:pPr>
        <w:pStyle w:val="3"/>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★5、配置</w:t>
      </w:r>
    </w:p>
    <w:p w14:paraId="4C224665">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主机1台，导联线1条，肢电极4个，胸电极6个，热敏打印纸1本，电源线1根，接地线1根，其它必要辅件一套。</w:t>
      </w:r>
    </w:p>
    <w:p w14:paraId="2CD182D1">
      <w:pPr>
        <w:pStyle w:val="4"/>
        <w:rPr>
          <w:rFonts w:hint="eastAsia" w:asciiTheme="minorEastAsia" w:hAnsiTheme="minorEastAsia" w:eastAsiaTheme="minorEastAsia" w:cstheme="minorEastAsia"/>
          <w:lang w:val="en-US" w:eastAsia="zh-CN"/>
        </w:rPr>
      </w:pPr>
    </w:p>
    <w:p w14:paraId="419A163F">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b/>
          <w:bCs/>
          <w:color w:val="000000"/>
          <w:kern w:val="0"/>
          <w:sz w:val="20"/>
          <w:szCs w:val="20"/>
          <w:u w:val="single"/>
          <w:lang w:val="en-US" w:eastAsia="zh-CN" w:bidi="ar"/>
        </w:rPr>
      </w:pPr>
      <w:r>
        <w:rPr>
          <w:rFonts w:hint="eastAsia" w:asciiTheme="minorEastAsia" w:hAnsiTheme="minorEastAsia" w:eastAsiaTheme="minorEastAsia" w:cstheme="minorEastAsia"/>
          <w:b/>
          <w:bCs/>
          <w:color w:val="000000"/>
          <w:kern w:val="0"/>
          <w:sz w:val="20"/>
          <w:szCs w:val="20"/>
          <w:u w:val="single"/>
          <w:lang w:val="en-US" w:eastAsia="zh-CN" w:bidi="ar"/>
        </w:rPr>
        <w:t>4心电监护仪</w:t>
      </w:r>
    </w:p>
    <w:p w14:paraId="403D8D9F">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1、整机要求：</w:t>
      </w:r>
    </w:p>
    <w:p w14:paraId="67D405D1">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1.1≥10.1英寸彩色液晶触摸屏，分辨率≥1280*800，≥8通道波形显示。</w:t>
      </w:r>
    </w:p>
    <w:p w14:paraId="29BE3E20">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1.2主机工作环境：温度：0-40 ºC。</w:t>
      </w:r>
    </w:p>
    <w:p w14:paraId="5CDC65A9">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1.3监护仪清洁消毒维护支持的消毒剂≥40种，在厂家手册中清晰列举消毒剂的种类。</w:t>
      </w:r>
    </w:p>
    <w:p w14:paraId="334F4B5E">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2、监测参数：</w:t>
      </w:r>
    </w:p>
    <w:p w14:paraId="27EFCD06">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2.1配置3/5导心电，呼吸，无创血压，血氧饱和度，脉搏和双通道体温参数监测，以上参数适用于成人、小儿、新生儿患者。</w:t>
      </w:r>
    </w:p>
    <w:p w14:paraId="5DF88336">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▲2.2支持≥4通道心电波形同步分析，可进行多导心电分析。</w:t>
      </w:r>
    </w:p>
    <w:p w14:paraId="43634D6F">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2.3支持≥27种心律失常分析,包括房颤，室上性心动过速分析。</w:t>
      </w:r>
    </w:p>
    <w:p w14:paraId="042BF736">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2.4支持指套式血氧探头，IPX7防水等级，支持液体浸泡消毒和清洁。</w:t>
      </w:r>
    </w:p>
    <w:p w14:paraId="68043CD2">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▲2.5提供手动，自动，连续、序列和整点5种测量模式，提供24小时血压统计结果。</w:t>
      </w:r>
    </w:p>
    <w:p w14:paraId="3FDF5648">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2.6提供呼吸测量，适用于成人、小儿和新生儿。呼吸测量范围：0-200 rpm。</w:t>
      </w:r>
    </w:p>
    <w:p w14:paraId="7F98B09B">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2.7配置无创血压测量，适用于成人，小儿和新生儿。无创血压成人测量范围：收缩压30~290mmH。</w:t>
      </w:r>
    </w:p>
    <w:p w14:paraId="052B5F89">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3、系统功能：</w:t>
      </w:r>
    </w:p>
    <w:p w14:paraId="7723EE1E">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3.1支持根据病人的参数趋势变化，自动推送推荐报警限</w:t>
      </w:r>
    </w:p>
    <w:p w14:paraId="5F259307">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3.2具备参数组合报警功能，可对患者同时多个参数变化给出统一报警提示，预示病人不同生理系统状态改变，提供≥10个预设组合报警，并允许自定义≥10个组合报警</w:t>
      </w:r>
    </w:p>
    <w:p w14:paraId="376D06DC">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b/>
          <w:bCs/>
          <w:color w:val="000000"/>
          <w:kern w:val="0"/>
          <w:sz w:val="20"/>
          <w:szCs w:val="20"/>
          <w:u w:val="single"/>
          <w:lang w:val="en-US" w:eastAsia="zh-CN" w:bidi="ar"/>
        </w:rPr>
      </w:pPr>
      <w:r>
        <w:rPr>
          <w:rFonts w:hint="eastAsia" w:asciiTheme="minorEastAsia" w:hAnsiTheme="minorEastAsia" w:eastAsiaTheme="minorEastAsia" w:cstheme="minorEastAsia"/>
          <w:b/>
          <w:bCs/>
          <w:color w:val="000000"/>
          <w:kern w:val="0"/>
          <w:sz w:val="20"/>
          <w:szCs w:val="20"/>
          <w:u w:val="single"/>
          <w:lang w:val="en-US" w:eastAsia="zh-CN" w:bidi="ar"/>
        </w:rPr>
        <w:t>5吸引器</w:t>
      </w:r>
    </w:p>
    <w:p w14:paraId="3FEE6080">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1.极限负压值:≥0.08MPa（600mmHig）。</w:t>
      </w:r>
    </w:p>
    <w:p w14:paraId="2D46C60A">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2.负压调节范围0.02MPa（150mmllg）一极限负压值。</w:t>
      </w:r>
    </w:p>
    <w:p w14:paraId="0CB3731C">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3.抽气速率:≥20 L/min。</w:t>
      </w:r>
    </w:p>
    <w:p w14:paraId="6B031617">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4.噪声:≤65 dB（A）。</w:t>
      </w:r>
    </w:p>
    <w:p w14:paraId="21B8AC10">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0"/>
          <w:szCs w:val="20"/>
          <w:lang w:val="en-US" w:eastAsia="zh-CN" w:bidi="ar"/>
        </w:rPr>
        <w:t>5.贮液瓶≥1000ml（PC 塑料）。</w:t>
      </w:r>
    </w:p>
    <w:p w14:paraId="192E366F">
      <w:pPr>
        <w:pStyle w:val="3"/>
        <w:rPr>
          <w:rFonts w:hint="eastAsia"/>
        </w:rPr>
      </w:pPr>
    </w:p>
    <w:p w14:paraId="51093E18">
      <w:pPr>
        <w:pStyle w:val="2"/>
        <w:keepNext w:val="0"/>
        <w:keepLines w:val="0"/>
        <w:pageBreakBefore w:val="0"/>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带“</w:t>
      </w:r>
      <w:r>
        <w:rPr>
          <w:rFonts w:hint="eastAsia" w:ascii="宋体" w:hAnsi="宋体" w:eastAsia="宋体" w:cs="宋体"/>
          <w:sz w:val="21"/>
          <w:szCs w:val="21"/>
          <w:lang w:val="en-US" w:eastAsia="zh-CN"/>
        </w:rPr>
        <w:t>★</w:t>
      </w:r>
      <w:r>
        <w:rPr>
          <w:rFonts w:hint="eastAsia" w:ascii="宋体" w:hAnsi="宋体" w:eastAsia="宋体" w:cs="宋体"/>
          <w:sz w:val="21"/>
          <w:szCs w:val="21"/>
        </w:rPr>
        <w:t>”的参数需求为实质性要求，供应商必须响应并满足的参数需求。带“▲”号条款</w:t>
      </w:r>
      <w:r>
        <w:rPr>
          <w:rFonts w:hint="eastAsia" w:ascii="宋体" w:hAnsi="宋体" w:eastAsia="宋体" w:cs="宋体"/>
          <w:sz w:val="21"/>
          <w:szCs w:val="21"/>
          <w:lang w:val="en-US" w:eastAsia="zh-CN"/>
        </w:rPr>
        <w:t>与无符号条款</w:t>
      </w:r>
      <w:r>
        <w:rPr>
          <w:rFonts w:hint="eastAsia" w:ascii="宋体" w:hAnsi="宋体" w:eastAsia="宋体" w:cs="宋体"/>
          <w:sz w:val="21"/>
          <w:szCs w:val="21"/>
        </w:rPr>
        <w:t>为允许负偏离的参数需求，若未响应或者不满足，将在综合评审中予以扣分处理。</w:t>
      </w:r>
    </w:p>
    <w:p w14:paraId="7BD54A80">
      <w:pPr>
        <w:pStyle w:val="2"/>
        <w:keepNext w:val="0"/>
        <w:keepLines w:val="0"/>
        <w:pageBreakBefore w:val="0"/>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sz w:val="21"/>
          <w:szCs w:val="21"/>
        </w:rPr>
      </w:pPr>
    </w:p>
    <w:p w14:paraId="702D3810">
      <w:pPr>
        <w:pStyle w:val="2"/>
        <w:keepNext w:val="0"/>
        <w:keepLines w:val="0"/>
        <w:pageBreakBefore w:val="0"/>
        <w:widowControl w:val="0"/>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二、商务要求：</w:t>
      </w:r>
    </w:p>
    <w:p w14:paraId="71ED5096">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交货日期</w:t>
      </w:r>
    </w:p>
    <w:p w14:paraId="3EFBEC52">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0" w:lineRule="atLeast"/>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自合同签订之日起10日</w:t>
      </w:r>
    </w:p>
    <w:p w14:paraId="7D309B97">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支付约定</w:t>
      </w:r>
    </w:p>
    <w:p w14:paraId="0C377458">
      <w:pPr>
        <w:pStyle w:val="14"/>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firstLine="0" w:firstLineChars="0"/>
        <w:textAlignment w:val="auto"/>
        <w:outlineLvl w:val="9"/>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投标人按采购合同约定将设备送至使用科室，需要安装调试的设备由投标人按采购合同清单明细完成设备安装后交使用科室、资产管理职能科室（医学工程科）进行安装验收，并分别签字确认。完成履约验收并合格后，凭票据资料采购合同资料和安装验收单到库房会计处进行入库，入库后进行付款流程，达到付款条件，次月支付100%货款。</w:t>
      </w:r>
    </w:p>
    <w:p w14:paraId="68C4C1B7">
      <w:pPr>
        <w:pStyle w:val="14"/>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firstLine="0" w:firstLineChars="0"/>
        <w:textAlignment w:val="auto"/>
        <w:outlineLvl w:val="9"/>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甲方支付价款之前，乙方须向甲方出具合法有效完整的完税发票及验收凭证资料作为支付结算的必要条件，乙方未提供相应完税发票的，付款期限顺延，不视为违约；</w:t>
      </w:r>
    </w:p>
    <w:p w14:paraId="34F8128F">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sz w:val="21"/>
          <w:szCs w:val="21"/>
        </w:rPr>
      </w:pPr>
      <w:r>
        <w:rPr>
          <w:rFonts w:hint="eastAsia" w:ascii="宋体" w:hAnsi="宋体" w:eastAsia="宋体" w:cs="宋体"/>
          <w:b/>
          <w:bCs/>
          <w:sz w:val="21"/>
          <w:szCs w:val="21"/>
          <w:lang w:val="en-US" w:eastAsia="zh-CN"/>
        </w:rPr>
        <w:t>质保期限：不少于2年</w:t>
      </w:r>
      <w:r>
        <w:rPr>
          <w:rFonts w:hint="eastAsia" w:ascii="宋体" w:hAnsi="宋体" w:eastAsia="宋体" w:cs="宋体"/>
          <w:sz w:val="21"/>
          <w:szCs w:val="21"/>
          <w:lang w:val="en-US" w:eastAsia="zh-CN"/>
        </w:rPr>
        <w:t>。保修期应以双方的验收合格之日（即双方签署履约验收报告单之日）起计算，保修期内更换零配件的费用由中标人承担。</w:t>
      </w:r>
    </w:p>
    <w:p w14:paraId="3EC88ECE">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验收标准和方法</w:t>
      </w:r>
    </w:p>
    <w:p w14:paraId="4F7C7207">
      <w:pPr>
        <w:pStyle w:val="14"/>
        <w:keepNext w:val="0"/>
        <w:keepLines w:val="0"/>
        <w:pageBreakBefore w:val="0"/>
        <w:widowControl/>
        <w:numPr>
          <w:ilvl w:val="0"/>
          <w:numId w:val="0"/>
        </w:numPr>
        <w:kinsoku/>
        <w:wordWrap/>
        <w:overflowPunct/>
        <w:topLinePunct w:val="0"/>
        <w:autoSpaceDE/>
        <w:autoSpaceDN/>
        <w:bidi w:val="0"/>
        <w:adjustRightInd w:val="0"/>
        <w:snapToGrid w:val="0"/>
        <w:spacing w:line="0" w:lineRule="atLeast"/>
        <w:ind w:left="0" w:lef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履约验收的主体：眉山市人民医院</w:t>
      </w:r>
      <w:r>
        <w:rPr>
          <w:rFonts w:hint="eastAsia" w:ascii="宋体" w:hAnsi="宋体" w:eastAsia="宋体" w:cs="宋体"/>
          <w:sz w:val="21"/>
          <w:szCs w:val="21"/>
          <w:lang w:eastAsia="zh-CN"/>
        </w:rPr>
        <w:t>；</w:t>
      </w:r>
    </w:p>
    <w:p w14:paraId="62942098">
      <w:pPr>
        <w:pStyle w:val="14"/>
        <w:keepNext w:val="0"/>
        <w:keepLines w:val="0"/>
        <w:pageBreakBefore w:val="0"/>
        <w:widowControl/>
        <w:numPr>
          <w:ilvl w:val="0"/>
          <w:numId w:val="0"/>
        </w:numPr>
        <w:kinsoku/>
        <w:wordWrap/>
        <w:overflowPunct/>
        <w:topLinePunct w:val="0"/>
        <w:autoSpaceDE/>
        <w:autoSpaceDN/>
        <w:bidi w:val="0"/>
        <w:adjustRightInd w:val="0"/>
        <w:snapToGrid w:val="0"/>
        <w:spacing w:line="0" w:lineRule="atLeast"/>
        <w:ind w:left="0" w:lef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验收组织方式：自行验收</w:t>
      </w:r>
      <w:r>
        <w:rPr>
          <w:rFonts w:hint="eastAsia" w:ascii="宋体" w:hAnsi="宋体" w:eastAsia="宋体" w:cs="宋体"/>
          <w:sz w:val="21"/>
          <w:szCs w:val="21"/>
          <w:lang w:eastAsia="zh-CN"/>
        </w:rPr>
        <w:t>；</w:t>
      </w:r>
    </w:p>
    <w:p w14:paraId="378A353C">
      <w:pPr>
        <w:pStyle w:val="14"/>
        <w:keepNext w:val="0"/>
        <w:keepLines w:val="0"/>
        <w:pageBreakBefore w:val="0"/>
        <w:widowControl/>
        <w:kinsoku/>
        <w:wordWrap/>
        <w:overflowPunct/>
        <w:topLinePunct w:val="0"/>
        <w:autoSpaceDE/>
        <w:autoSpaceDN/>
        <w:bidi w:val="0"/>
        <w:adjustRightInd w:val="0"/>
        <w:snapToGrid w:val="0"/>
        <w:spacing w:line="0" w:lineRule="atLeast"/>
        <w:ind w:left="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履约验收程序：一次性验收。</w:t>
      </w:r>
      <w:r>
        <w:rPr>
          <w:rFonts w:hint="eastAsia" w:ascii="宋体" w:hAnsi="宋体" w:eastAsia="宋体" w:cs="宋体"/>
          <w:sz w:val="21"/>
          <w:szCs w:val="21"/>
          <w:lang w:val="en-US" w:eastAsia="zh-CN"/>
        </w:rPr>
        <w:t>①投标人在完成设备交货安装调试后交付给采购人试用1个月。在试用期届满前15日内应当向采购人提出履约验收申请，采购人在接到中标人的验收申请后在30日内组织履约验收，履约经验收合格后方视为投标人履行供货及安装合同义务符合合同约定。②履约验收合格，双方在履约验收报告单上签字确认。</w:t>
      </w:r>
    </w:p>
    <w:p w14:paraId="5999C8D1">
      <w:pPr>
        <w:pStyle w:val="14"/>
        <w:keepNext w:val="0"/>
        <w:keepLines w:val="0"/>
        <w:pageBreakBefore w:val="0"/>
        <w:widowControl/>
        <w:numPr>
          <w:ilvl w:val="0"/>
          <w:numId w:val="0"/>
        </w:numPr>
        <w:kinsoku/>
        <w:wordWrap/>
        <w:overflowPunct/>
        <w:topLinePunct w:val="0"/>
        <w:autoSpaceDE/>
        <w:autoSpaceDN/>
        <w:bidi w:val="0"/>
        <w:adjustRightInd w:val="0"/>
        <w:snapToGrid w:val="0"/>
        <w:spacing w:line="0" w:lineRule="atLeast"/>
        <w:ind w:left="0" w:lef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履约验收标准：按国家相关法律、行业标准验收。</w:t>
      </w:r>
    </w:p>
    <w:p w14:paraId="4D6329A2">
      <w:pPr>
        <w:pStyle w:val="14"/>
        <w:keepNext w:val="0"/>
        <w:keepLines w:val="0"/>
        <w:pageBreakBefore w:val="0"/>
        <w:widowControl/>
        <w:kinsoku/>
        <w:wordWrap/>
        <w:overflowPunct/>
        <w:topLinePunct w:val="0"/>
        <w:autoSpaceDE/>
        <w:autoSpaceDN/>
        <w:bidi w:val="0"/>
        <w:adjustRightInd w:val="0"/>
        <w:snapToGrid w:val="0"/>
        <w:spacing w:line="0" w:lineRule="atLeast"/>
        <w:ind w:left="0" w:firstLine="0" w:firstLineChars="0"/>
        <w:textAlignment w:val="auto"/>
        <w:outlineLvl w:val="9"/>
        <w:rPr>
          <w:rFonts w:hint="eastAsia" w:ascii="宋体" w:hAnsi="宋体" w:eastAsia="宋体" w:cs="宋体"/>
          <w:sz w:val="21"/>
          <w:szCs w:val="21"/>
          <w:lang w:val="en-US" w:eastAsia="zh-CN"/>
        </w:rPr>
      </w:pPr>
    </w:p>
    <w:p w14:paraId="42E10EAF">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sz w:val="21"/>
          <w:szCs w:val="21"/>
          <w:lang w:val="en-US" w:eastAsia="zh-CN"/>
        </w:rPr>
      </w:pPr>
    </w:p>
    <w:p w14:paraId="3AF371E3">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sz w:val="21"/>
          <w:szCs w:val="21"/>
          <w:lang w:val="en-US" w:eastAsia="zh-CN"/>
        </w:rPr>
      </w:pPr>
    </w:p>
    <w:p w14:paraId="03BAFF62">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0" w:lineRule="atLeast"/>
        <w:ind w:left="0" w:leftChars="0" w:right="0" w:firstLine="0" w:firstLineChars="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注：</w:t>
      </w:r>
      <w:r>
        <w:rPr>
          <w:rFonts w:hint="eastAsia" w:ascii="宋体" w:hAnsi="宋体" w:eastAsia="宋体" w:cs="宋体"/>
          <w:b/>
          <w:bCs/>
          <w:spacing w:val="10"/>
          <w:kern w:val="2"/>
          <w:sz w:val="21"/>
          <w:szCs w:val="21"/>
          <w:lang w:val="en-US" w:eastAsia="zh-CN" w:bidi="ar-SA"/>
        </w:rPr>
        <w:t>采购需求以报名后获取的采购文件为准</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KSOMHPADTR0_22_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90501"/>
    <w:multiLevelType w:val="singleLevel"/>
    <w:tmpl w:val="08390501"/>
    <w:lvl w:ilvl="0" w:tentative="0">
      <w:start w:val="1"/>
      <w:numFmt w:val="decimal"/>
      <w:suff w:val="nothing"/>
      <w:lvlText w:val="%1、"/>
      <w:lvlJc w:val="left"/>
    </w:lvl>
  </w:abstractNum>
  <w:abstractNum w:abstractNumId="1">
    <w:nsid w:val="22A27F93"/>
    <w:multiLevelType w:val="singleLevel"/>
    <w:tmpl w:val="22A27F9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ZGExMGVkY2ZhNTlhYWQ2NjM3NmY1MWE4ZmZkYjIifQ=="/>
  </w:docVars>
  <w:rsids>
    <w:rsidRoot w:val="00000000"/>
    <w:rsid w:val="004C7331"/>
    <w:rsid w:val="02E64060"/>
    <w:rsid w:val="044D426F"/>
    <w:rsid w:val="046D53F8"/>
    <w:rsid w:val="0A033F19"/>
    <w:rsid w:val="0B7F5343"/>
    <w:rsid w:val="0C3B5451"/>
    <w:rsid w:val="0C505188"/>
    <w:rsid w:val="0C6211BE"/>
    <w:rsid w:val="0CA27F6D"/>
    <w:rsid w:val="109F3233"/>
    <w:rsid w:val="1311013A"/>
    <w:rsid w:val="140B02F2"/>
    <w:rsid w:val="15365071"/>
    <w:rsid w:val="16FD16D7"/>
    <w:rsid w:val="17524E8E"/>
    <w:rsid w:val="1AEE2BA6"/>
    <w:rsid w:val="1EC97204"/>
    <w:rsid w:val="2067251D"/>
    <w:rsid w:val="227417D4"/>
    <w:rsid w:val="23C5488E"/>
    <w:rsid w:val="26B508AF"/>
    <w:rsid w:val="271C299A"/>
    <w:rsid w:val="2B081B6E"/>
    <w:rsid w:val="2D2A38E5"/>
    <w:rsid w:val="2E8B726C"/>
    <w:rsid w:val="34304269"/>
    <w:rsid w:val="348D23B4"/>
    <w:rsid w:val="35817FB5"/>
    <w:rsid w:val="35D442B1"/>
    <w:rsid w:val="37614612"/>
    <w:rsid w:val="388C5B8C"/>
    <w:rsid w:val="391A37D2"/>
    <w:rsid w:val="41774336"/>
    <w:rsid w:val="41EA4926"/>
    <w:rsid w:val="42611561"/>
    <w:rsid w:val="4427351F"/>
    <w:rsid w:val="4454186C"/>
    <w:rsid w:val="46FC54DD"/>
    <w:rsid w:val="47F16FFF"/>
    <w:rsid w:val="48CC5807"/>
    <w:rsid w:val="491078A4"/>
    <w:rsid w:val="4A85695F"/>
    <w:rsid w:val="4C54665B"/>
    <w:rsid w:val="4D271BFF"/>
    <w:rsid w:val="4D3159A8"/>
    <w:rsid w:val="4F0F2043"/>
    <w:rsid w:val="54665717"/>
    <w:rsid w:val="54D94248"/>
    <w:rsid w:val="569A3030"/>
    <w:rsid w:val="5D45271F"/>
    <w:rsid w:val="5D8D5B48"/>
    <w:rsid w:val="5EC50168"/>
    <w:rsid w:val="5F2E2567"/>
    <w:rsid w:val="60353A32"/>
    <w:rsid w:val="639F07CF"/>
    <w:rsid w:val="65E627D6"/>
    <w:rsid w:val="6C7227EB"/>
    <w:rsid w:val="6CFC1039"/>
    <w:rsid w:val="6ECE6065"/>
    <w:rsid w:val="70776B4D"/>
    <w:rsid w:val="70A24B63"/>
    <w:rsid w:val="70FD58CE"/>
    <w:rsid w:val="71DD097F"/>
    <w:rsid w:val="724D4AF9"/>
    <w:rsid w:val="799D0CA4"/>
    <w:rsid w:val="7D48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80" w:firstLineChars="200"/>
      <w:jc w:val="left"/>
    </w:pPr>
    <w:rPr>
      <w:rFonts w:ascii="Times New Roman" w:hAnsi="Times New Roman" w:eastAsia="仿宋_GB2312" w:cstheme="minorBidi"/>
      <w:kern w:val="2"/>
      <w:sz w:val="24"/>
      <w:szCs w:val="24"/>
      <w:lang w:val="en-US" w:eastAsia="zh-CN" w:bidi="ar-SA"/>
    </w:rPr>
  </w:style>
  <w:style w:type="paragraph" w:styleId="5">
    <w:name w:val="heading 1"/>
    <w:basedOn w:val="1"/>
    <w:next w:val="1"/>
    <w:autoRedefine/>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b/>
      <w:kern w:val="44"/>
      <w:sz w:val="44"/>
    </w:rPr>
  </w:style>
  <w:style w:type="paragraph" w:styleId="6">
    <w:name w:val="heading 2"/>
    <w:basedOn w:val="1"/>
    <w:next w:val="1"/>
    <w:autoRedefine/>
    <w:semiHidden/>
    <w:unhideWhenUsed/>
    <w:qFormat/>
    <w:uiPriority w:val="0"/>
    <w:pPr>
      <w:keepNext/>
      <w:keepLines/>
      <w:spacing w:before="260" w:after="260" w:line="500" w:lineRule="exact"/>
      <w:jc w:val="center"/>
      <w:outlineLvl w:val="1"/>
    </w:pPr>
    <w:rPr>
      <w:rFonts w:ascii="Arial" w:hAnsi="Arial" w:eastAsia="黑体" w:cs="Times New Roman"/>
      <w:sz w:val="36"/>
      <w:szCs w:val="20"/>
    </w:rPr>
  </w:style>
  <w:style w:type="paragraph" w:styleId="7">
    <w:name w:val="heading 3"/>
    <w:basedOn w:val="1"/>
    <w:next w:val="1"/>
    <w:autoRedefine/>
    <w:semiHidden/>
    <w:unhideWhenUsed/>
    <w:qFormat/>
    <w:uiPriority w:val="0"/>
    <w:pPr>
      <w:keepNext/>
      <w:keepLines/>
      <w:spacing w:beforeLines="0" w:beforeAutospacing="0" w:afterLines="0" w:afterAutospacing="0" w:line="560" w:lineRule="exact"/>
      <w:outlineLvl w:val="2"/>
    </w:pPr>
    <w:rPr>
      <w:rFonts w:ascii="Times New Roman" w:hAnsi="Times New Roman" w:eastAsia="楷体_GB2312"/>
      <w:b/>
      <w:sz w:val="32"/>
    </w:rPr>
  </w:style>
  <w:style w:type="paragraph" w:styleId="8">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黑体"/>
      <w:b/>
      <w:sz w:val="28"/>
    </w:rPr>
  </w:style>
  <w:style w:type="character" w:default="1" w:styleId="12">
    <w:name w:val="Default Paragraph Font"/>
    <w:autoRedefine/>
    <w:semiHidden/>
    <w:qFormat/>
    <w:uiPriority w:val="0"/>
    <w:rPr>
      <w:rFonts w:ascii="Calibri" w:hAnsi="Calibri" w:eastAsia="宋体"/>
      <w:sz w:val="18"/>
    </w:rPr>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Body Text First Indent"/>
    <w:basedOn w:val="2"/>
    <w:next w:val="4"/>
    <w:autoRedefine/>
    <w:unhideWhenUsed/>
    <w:qFormat/>
    <w:uiPriority w:val="99"/>
    <w:pPr>
      <w:ind w:firstLine="420" w:firstLineChars="100"/>
    </w:pPr>
  </w:style>
  <w:style w:type="paragraph" w:customStyle="1" w:styleId="4">
    <w:name w:val="样式 正文首行缩进 + 首行缩进:  2 字符1 Char Char"/>
    <w:autoRedefine/>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szCs w:val="20"/>
      <w:lang w:val="en-US" w:eastAsia="zh-CN" w:bidi="ar-SA"/>
    </w:rPr>
  </w:style>
  <w:style w:type="paragraph" w:styleId="9">
    <w:name w:val="Date"/>
    <w:basedOn w:val="1"/>
    <w:next w:val="1"/>
    <w:autoRedefine/>
    <w:qFormat/>
    <w:uiPriority w:val="0"/>
    <w:pPr>
      <w:ind w:left="100" w:leftChars="2500"/>
    </w:pPr>
    <w:rPr>
      <w:rFonts w:ascii="Times New Roman" w:hAnsi="Times New Roman"/>
    </w:rPr>
  </w:style>
  <w:style w:type="paragraph" w:styleId="10">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customStyle="1" w:styleId="13">
    <w:name w:val="正文4号字体"/>
    <w:basedOn w:val="1"/>
    <w:autoRedefine/>
    <w:qFormat/>
    <w:uiPriority w:val="0"/>
    <w:pPr>
      <w:keepNext/>
      <w:keepLines/>
      <w:ind w:firstLine="600" w:firstLineChars="200"/>
    </w:pPr>
    <w:rPr>
      <w:sz w:val="28"/>
    </w:rPr>
  </w:style>
  <w:style w:type="paragraph" w:customStyle="1" w:styleId="14">
    <w:name w:val="null3"/>
    <w:autoRedefine/>
    <w:hidden/>
    <w:qFormat/>
    <w:uiPriority w:val="0"/>
    <w:rPr>
      <w:rFonts w:hint="eastAsia" w:asciiTheme="minorHAnsi" w:hAnsiTheme="minorHAnsi" w:eastAsiaTheme="minorEastAsia" w:cstheme="minorBidi"/>
      <w:lang w:val="en-US" w:eastAsia="zh-Hans"/>
    </w:rPr>
  </w:style>
  <w:style w:type="paragraph" w:customStyle="1" w:styleId="15">
    <w:name w:val="正文 A"/>
    <w:autoRedefine/>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1071</Words>
  <Characters>1174</Characters>
  <Lines>0</Lines>
  <Paragraphs>0</Paragraphs>
  <TotalTime>0</TotalTime>
  <ScaleCrop>false</ScaleCrop>
  <LinksUpToDate>false</LinksUpToDate>
  <CharactersWithSpaces>1176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2022-11-21T05:58:00Z</dcterms:created>
  <dc:creator>Administrator</dc:creator>
  <cp:lastModifiedBy>A.勾勾勾</cp:lastModifiedBy>
  <dcterms:modified xsi:type="dcterms:W3CDTF">2025-09-24T08:04:24Z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CC7B75BA37BC490F8697685FBA7D9B95_13</vt:lpwstr>
  </property>
  <property fmtid="{D5CDD505-2E9C-101B-9397-08002B2CF9AE}" pid="4" name="KSOTemplateDocerSaveRecord">
    <vt:lpwstr>eyJoZGlkIjoiYjA5ZGExMGVkY2ZhNTlhYWQ2NjM3NmY1MWE4ZmZkYjIiLCJ1c2VySWQiOiI0NDk4OTEzNjgifQ==</vt:lpwstr>
  </property>
</Properties>
</file>