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611A1">
      <w:pPr>
        <w:pStyle w:val="14"/>
        <w:keepNext w:val="0"/>
        <w:keepLines w:val="0"/>
        <w:pageBreakBefore w:val="0"/>
        <w:kinsoku/>
        <w:wordWrap/>
        <w:overflowPunct/>
        <w:topLinePunct w:val="0"/>
        <w:autoSpaceDE/>
        <w:autoSpaceDN/>
        <w:bidi w:val="0"/>
        <w:adjustRightInd w:val="0"/>
        <w:snapToGrid w:val="0"/>
        <w:spacing w:line="0" w:lineRule="atLeast"/>
        <w:ind w:left="0" w:firstLine="0" w:firstLineChars="0"/>
        <w:jc w:val="center"/>
        <w:textAlignment w:val="auto"/>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采购需求</w:t>
      </w:r>
    </w:p>
    <w:p w14:paraId="62019F5F">
      <w:pPr>
        <w:pStyle w:val="14"/>
        <w:keepNext w:val="0"/>
        <w:keepLines w:val="0"/>
        <w:pageBreakBefore w:val="0"/>
        <w:kinsoku/>
        <w:wordWrap/>
        <w:overflowPunct/>
        <w:topLinePunct w:val="0"/>
        <w:autoSpaceDE/>
        <w:autoSpaceDN/>
        <w:bidi w:val="0"/>
        <w:adjustRightInd w:val="0"/>
        <w:snapToGrid w:val="0"/>
        <w:spacing w:line="0" w:lineRule="atLeast"/>
        <w:ind w:left="0" w:leftChars="0" w:firstLine="0" w:firstLineChars="0"/>
        <w:textAlignment w:val="auto"/>
        <w:rPr>
          <w:rFonts w:hint="eastAsia" w:ascii="方正仿宋_GB2312" w:hAnsi="方正仿宋_GB2312" w:eastAsia="方正仿宋_GB2312" w:cs="方正仿宋_GB2312"/>
          <w:b w:val="0"/>
          <w:bCs w:val="0"/>
          <w:sz w:val="21"/>
          <w:szCs w:val="21"/>
          <w:lang w:val="en-US" w:eastAsia="zh-CN"/>
        </w:rPr>
      </w:pPr>
      <w:r>
        <w:rPr>
          <w:rFonts w:hint="eastAsia" w:ascii="方正仿宋_GB2312" w:hAnsi="方正仿宋_GB2312" w:eastAsia="方正仿宋_GB2312" w:cs="方正仿宋_GB2312"/>
          <w:b w:val="0"/>
          <w:bCs w:val="0"/>
          <w:sz w:val="21"/>
          <w:szCs w:val="21"/>
          <w:lang w:val="en-US" w:eastAsia="zh-CN"/>
        </w:rPr>
        <w:t>项目编号：myzhcg2026-017</w:t>
      </w:r>
    </w:p>
    <w:p w14:paraId="444996E4">
      <w:pPr>
        <w:pStyle w:val="14"/>
        <w:keepNext w:val="0"/>
        <w:keepLines w:val="0"/>
        <w:pageBreakBefore w:val="0"/>
        <w:kinsoku/>
        <w:wordWrap/>
        <w:overflowPunct/>
        <w:topLinePunct w:val="0"/>
        <w:autoSpaceDE/>
        <w:autoSpaceDN/>
        <w:bidi w:val="0"/>
        <w:adjustRightInd w:val="0"/>
        <w:snapToGrid w:val="0"/>
        <w:spacing w:line="0" w:lineRule="atLeast"/>
        <w:ind w:left="0" w:leftChars="0" w:firstLine="0" w:firstLineChars="0"/>
        <w:textAlignment w:val="auto"/>
        <w:rPr>
          <w:rFonts w:hint="eastAsia" w:ascii="方正仿宋_GB2312" w:hAnsi="方正仿宋_GB2312" w:eastAsia="方正仿宋_GB2312" w:cs="方正仿宋_GB2312"/>
          <w:b w:val="0"/>
          <w:bCs w:val="0"/>
          <w:sz w:val="21"/>
          <w:szCs w:val="21"/>
          <w:lang w:val="en-US" w:eastAsia="zh-CN"/>
        </w:rPr>
      </w:pPr>
      <w:r>
        <w:rPr>
          <w:rFonts w:hint="eastAsia" w:ascii="方正仿宋_GB2312" w:hAnsi="方正仿宋_GB2312" w:eastAsia="方正仿宋_GB2312" w:cs="方正仿宋_GB2312"/>
          <w:b w:val="0"/>
          <w:bCs w:val="0"/>
          <w:sz w:val="21"/>
          <w:szCs w:val="21"/>
          <w:lang w:val="en-US" w:eastAsia="zh-CN"/>
        </w:rPr>
        <w:t>项目名称：第三方医学检验服务采购项目（二次</w:t>
      </w:r>
      <w:bookmarkStart w:id="0" w:name="_GoBack"/>
      <w:bookmarkEnd w:id="0"/>
      <w:r>
        <w:rPr>
          <w:rFonts w:hint="eastAsia" w:ascii="方正仿宋_GB2312" w:hAnsi="方正仿宋_GB2312" w:eastAsia="方正仿宋_GB2312" w:cs="方正仿宋_GB2312"/>
          <w:b w:val="0"/>
          <w:bCs w:val="0"/>
          <w:sz w:val="21"/>
          <w:szCs w:val="21"/>
          <w:lang w:val="en-US" w:eastAsia="zh-CN"/>
        </w:rPr>
        <w:t>）</w:t>
      </w:r>
    </w:p>
    <w:p w14:paraId="57AC7E3F">
      <w:pPr>
        <w:pStyle w:val="14"/>
        <w:keepNext w:val="0"/>
        <w:keepLines w:val="0"/>
        <w:pageBreakBefore w:val="0"/>
        <w:kinsoku/>
        <w:wordWrap/>
        <w:overflowPunct/>
        <w:topLinePunct w:val="0"/>
        <w:autoSpaceDE/>
        <w:autoSpaceDN/>
        <w:bidi w:val="0"/>
        <w:adjustRightInd w:val="0"/>
        <w:snapToGrid w:val="0"/>
        <w:spacing w:line="0" w:lineRule="atLeast"/>
        <w:ind w:left="0" w:leftChars="0" w:firstLine="0" w:firstLineChars="0"/>
        <w:textAlignment w:val="auto"/>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sz w:val="21"/>
          <w:szCs w:val="21"/>
          <w:lang w:val="en-US" w:eastAsia="zh-CN"/>
        </w:rPr>
        <w:t>采购包1：</w:t>
      </w:r>
    </w:p>
    <w:p w14:paraId="1C06DCE8">
      <w:pPr>
        <w:pStyle w:val="14"/>
        <w:keepNext w:val="0"/>
        <w:keepLines w:val="0"/>
        <w:pageBreakBefore w:val="0"/>
        <w:kinsoku/>
        <w:wordWrap/>
        <w:overflowPunct/>
        <w:topLinePunct w:val="0"/>
        <w:autoSpaceDE/>
        <w:autoSpaceDN/>
        <w:bidi w:val="0"/>
        <w:adjustRightInd w:val="0"/>
        <w:snapToGrid w:val="0"/>
        <w:spacing w:line="0" w:lineRule="atLeast"/>
        <w:ind w:left="0" w:leftChars="0" w:firstLine="0" w:firstLineChars="0"/>
        <w:textAlignment w:val="auto"/>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sz w:val="21"/>
          <w:szCs w:val="21"/>
          <w:lang w:val="en-US" w:eastAsia="zh-CN"/>
        </w:rPr>
        <w:t>评选办法：综合评分法</w:t>
      </w:r>
    </w:p>
    <w:tbl>
      <w:tblPr>
        <w:tblStyle w:val="11"/>
        <w:tblW w:w="4492"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5"/>
        <w:gridCol w:w="2829"/>
        <w:gridCol w:w="829"/>
        <w:gridCol w:w="1843"/>
        <w:gridCol w:w="1340"/>
      </w:tblGrid>
      <w:tr w14:paraId="6E3CF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0" w:hRule="atLeast"/>
          <w:jc w:val="center"/>
        </w:trPr>
        <w:tc>
          <w:tcPr>
            <w:tcW w:w="532" w:type="pct"/>
            <w:vAlign w:val="center"/>
          </w:tcPr>
          <w:p w14:paraId="44C749B8">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序号</w:t>
            </w:r>
          </w:p>
        </w:tc>
        <w:tc>
          <w:tcPr>
            <w:tcW w:w="1847" w:type="pct"/>
            <w:vAlign w:val="center"/>
          </w:tcPr>
          <w:p w14:paraId="007B1699">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标的名称</w:t>
            </w:r>
          </w:p>
        </w:tc>
        <w:tc>
          <w:tcPr>
            <w:tcW w:w="541" w:type="pct"/>
            <w:vAlign w:val="center"/>
          </w:tcPr>
          <w:p w14:paraId="71ADDF6B">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数量</w:t>
            </w:r>
          </w:p>
        </w:tc>
        <w:tc>
          <w:tcPr>
            <w:tcW w:w="1203" w:type="pct"/>
            <w:vAlign w:val="center"/>
          </w:tcPr>
          <w:p w14:paraId="5BC87599">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标的金额 （元）</w:t>
            </w:r>
          </w:p>
        </w:tc>
        <w:tc>
          <w:tcPr>
            <w:tcW w:w="875" w:type="pct"/>
            <w:vAlign w:val="center"/>
          </w:tcPr>
          <w:p w14:paraId="390823B9">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计量单位</w:t>
            </w:r>
          </w:p>
        </w:tc>
      </w:tr>
      <w:tr w14:paraId="1AD4CD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jc w:val="center"/>
        </w:trPr>
        <w:tc>
          <w:tcPr>
            <w:tcW w:w="532" w:type="pct"/>
            <w:vAlign w:val="center"/>
          </w:tcPr>
          <w:p w14:paraId="274AF842">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w:t>
            </w:r>
          </w:p>
        </w:tc>
        <w:tc>
          <w:tcPr>
            <w:tcW w:w="1847" w:type="pct"/>
            <w:vAlign w:val="center"/>
          </w:tcPr>
          <w:p w14:paraId="1B93BCDC">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b w:val="0"/>
                <w:bCs w:val="0"/>
                <w:color w:val="auto"/>
                <w:sz w:val="21"/>
                <w:szCs w:val="21"/>
                <w:lang w:val="en-US" w:eastAsia="zh-CN"/>
              </w:rPr>
              <w:t>医学检验服务</w:t>
            </w:r>
          </w:p>
        </w:tc>
        <w:tc>
          <w:tcPr>
            <w:tcW w:w="541" w:type="pct"/>
            <w:vAlign w:val="center"/>
          </w:tcPr>
          <w:p w14:paraId="5CF15F40">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1</w:t>
            </w:r>
          </w:p>
        </w:tc>
        <w:tc>
          <w:tcPr>
            <w:tcW w:w="1203" w:type="pct"/>
            <w:vAlign w:val="center"/>
          </w:tcPr>
          <w:p w14:paraId="7E4A95BC">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lang w:val="en-US"/>
              </w:rPr>
            </w:pPr>
            <w:r>
              <w:rPr>
                <w:rFonts w:hint="eastAsia" w:ascii="方正仿宋_GB2312" w:hAnsi="方正仿宋_GB2312" w:eastAsia="方正仿宋_GB2312" w:cs="方正仿宋_GB2312"/>
                <w:color w:val="auto"/>
                <w:sz w:val="21"/>
                <w:szCs w:val="21"/>
                <w:lang w:val="en-US" w:eastAsia="zh-CN"/>
              </w:rPr>
              <w:t>90000</w:t>
            </w:r>
          </w:p>
        </w:tc>
        <w:tc>
          <w:tcPr>
            <w:tcW w:w="875" w:type="pct"/>
            <w:vAlign w:val="center"/>
          </w:tcPr>
          <w:p w14:paraId="2050138B">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lang w:val="en-US" w:eastAsia="zh-CN"/>
              </w:rPr>
              <w:t>项</w:t>
            </w:r>
          </w:p>
        </w:tc>
      </w:tr>
    </w:tbl>
    <w:p w14:paraId="5ABFB439">
      <w:pPr>
        <w:keepNext w:val="0"/>
        <w:keepLines w:val="0"/>
        <w:pageBreakBefore w:val="0"/>
        <w:kinsoku/>
        <w:wordWrap/>
        <w:overflowPunct/>
        <w:topLinePunct w:val="0"/>
        <w:autoSpaceDE/>
        <w:autoSpaceDN/>
        <w:bidi w:val="0"/>
        <w:adjustRightInd w:val="0"/>
        <w:snapToGrid w:val="0"/>
        <w:spacing w:line="0" w:lineRule="atLeast"/>
        <w:ind w:left="0" w:firstLine="0" w:firstLineChars="0"/>
        <w:contextualSpacing/>
        <w:jc w:val="both"/>
        <w:textAlignment w:val="auto"/>
        <w:outlineLvl w:val="0"/>
        <w:rPr>
          <w:rFonts w:hint="eastAsia" w:ascii="仿宋" w:hAnsi="仿宋" w:eastAsia="仿宋" w:cs="仿宋"/>
          <w:b/>
          <w:bCs/>
          <w:sz w:val="21"/>
          <w:szCs w:val="21"/>
        </w:rPr>
      </w:pPr>
      <w:r>
        <w:rPr>
          <w:rFonts w:hint="eastAsia" w:ascii="仿宋" w:hAnsi="仿宋" w:eastAsia="仿宋" w:cs="仿宋"/>
          <w:b/>
          <w:bCs/>
          <w:sz w:val="21"/>
          <w:szCs w:val="21"/>
          <w:lang w:val="en-US" w:eastAsia="zh-CN"/>
        </w:rPr>
        <w:t>一．</w:t>
      </w:r>
      <w:r>
        <w:rPr>
          <w:rFonts w:hint="eastAsia" w:ascii="仿宋" w:hAnsi="仿宋" w:eastAsia="仿宋" w:cs="仿宋"/>
          <w:b/>
          <w:bCs/>
          <w:sz w:val="21"/>
          <w:szCs w:val="21"/>
        </w:rPr>
        <w:t>技术标准和要求</w:t>
      </w:r>
    </w:p>
    <w:p w14:paraId="11E2E293">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0" w:firstLineChars="0"/>
        <w:textAlignment w:val="auto"/>
        <w:rPr>
          <w:rFonts w:hint="eastAsia" w:ascii="仿宋" w:hAnsi="仿宋" w:eastAsia="仿宋" w:cs="仿宋"/>
          <w:b/>
          <w:bCs/>
          <w:sz w:val="21"/>
          <w:szCs w:val="21"/>
        </w:rPr>
      </w:pPr>
      <w:r>
        <w:rPr>
          <w:rFonts w:hint="eastAsia" w:ascii="仿宋" w:hAnsi="仿宋" w:eastAsia="仿宋" w:cs="仿宋"/>
          <w:b/>
          <w:bCs/>
          <w:sz w:val="21"/>
          <w:szCs w:val="21"/>
          <w:lang w:val="en-US" w:eastAsia="zh-CN"/>
        </w:rPr>
        <w:t>★1</w:t>
      </w:r>
      <w:r>
        <w:rPr>
          <w:rFonts w:hint="eastAsia" w:ascii="仿宋" w:hAnsi="仿宋" w:eastAsia="仿宋" w:cs="仿宋"/>
          <w:b/>
          <w:bCs/>
          <w:sz w:val="21"/>
          <w:szCs w:val="21"/>
        </w:rPr>
        <w:t>检测任务范围(具体检测项目与要求)</w:t>
      </w:r>
    </w:p>
    <w:p w14:paraId="20FF5E6C">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1</w:t>
      </w:r>
      <w:r>
        <w:rPr>
          <w:rFonts w:hint="eastAsia" w:ascii="仿宋" w:hAnsi="仿宋" w:eastAsia="仿宋" w:cs="仿宋"/>
          <w:sz w:val="21"/>
          <w:szCs w:val="21"/>
          <w:lang w:eastAsia="zh-CN"/>
        </w:rPr>
        <w:t>）</w:t>
      </w:r>
      <w:r>
        <w:rPr>
          <w:rFonts w:hint="eastAsia" w:ascii="仿宋" w:hAnsi="仿宋" w:eastAsia="仿宋" w:cs="仿宋"/>
          <w:sz w:val="21"/>
          <w:szCs w:val="21"/>
        </w:rPr>
        <w:t>外周血神经递质检测：定量检测，提供浓度值及参考范围</w:t>
      </w:r>
    </w:p>
    <w:p w14:paraId="5D24C108">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2</w:t>
      </w:r>
      <w:r>
        <w:rPr>
          <w:rFonts w:hint="eastAsia" w:ascii="仿宋" w:hAnsi="仿宋" w:eastAsia="仿宋" w:cs="仿宋"/>
          <w:sz w:val="21"/>
          <w:szCs w:val="21"/>
          <w:lang w:eastAsia="zh-CN"/>
        </w:rPr>
        <w:t>）</w:t>
      </w:r>
      <w:r>
        <w:rPr>
          <w:rFonts w:hint="eastAsia" w:ascii="仿宋" w:hAnsi="仿宋" w:eastAsia="仿宋" w:cs="仿宋"/>
          <w:sz w:val="21"/>
          <w:szCs w:val="21"/>
        </w:rPr>
        <w:t>痰液蛋白水平检测：定量检测，提供表达水平/浓度值</w:t>
      </w:r>
    </w:p>
    <w:tbl>
      <w:tblPr>
        <w:tblStyle w:val="17"/>
        <w:tblW w:w="519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183"/>
        <w:gridCol w:w="3456"/>
      </w:tblGrid>
      <w:tr w14:paraId="3FAD3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 w:hRule="atLeast"/>
          <w:jc w:val="center"/>
        </w:trPr>
        <w:tc>
          <w:tcPr>
            <w:tcW w:w="3000" w:type="pct"/>
            <w:vAlign w:val="top"/>
          </w:tcPr>
          <w:p w14:paraId="004CA6A6">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3"/>
                <w:sz w:val="21"/>
                <w:szCs w:val="21"/>
              </w:rPr>
              <w:t>检测名称</w:t>
            </w:r>
          </w:p>
        </w:tc>
        <w:tc>
          <w:tcPr>
            <w:tcW w:w="1999" w:type="pct"/>
            <w:vAlign w:val="top"/>
          </w:tcPr>
          <w:p w14:paraId="2721875C">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2"/>
                <w:sz w:val="21"/>
                <w:szCs w:val="21"/>
                <w:lang w:val="en-US" w:eastAsia="zh-CN"/>
              </w:rPr>
              <w:t>预计</w:t>
            </w:r>
            <w:r>
              <w:rPr>
                <w:rFonts w:hint="eastAsia" w:ascii="仿宋" w:hAnsi="仿宋" w:eastAsia="仿宋" w:cs="仿宋"/>
                <w:spacing w:val="2"/>
                <w:sz w:val="21"/>
                <w:szCs w:val="21"/>
              </w:rPr>
              <w:t>样本数量</w:t>
            </w:r>
          </w:p>
        </w:tc>
      </w:tr>
      <w:tr w14:paraId="70D0D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jc w:val="center"/>
        </w:trPr>
        <w:tc>
          <w:tcPr>
            <w:tcW w:w="5000" w:type="pct"/>
            <w:gridSpan w:val="2"/>
            <w:vAlign w:val="top"/>
          </w:tcPr>
          <w:p w14:paraId="5ADFCFD3">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b/>
                <w:bCs/>
                <w:spacing w:val="-5"/>
                <w:sz w:val="21"/>
                <w:szCs w:val="21"/>
              </w:rPr>
              <w:t>外周血神经递质检测(4项)</w:t>
            </w:r>
          </w:p>
        </w:tc>
      </w:tr>
      <w:tr w14:paraId="7E8FC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3000" w:type="pct"/>
            <w:vAlign w:val="top"/>
          </w:tcPr>
          <w:p w14:paraId="610BD3A2">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2"/>
                <w:sz w:val="21"/>
                <w:szCs w:val="21"/>
              </w:rPr>
              <w:t>乙酰胆碱</w:t>
            </w:r>
          </w:p>
        </w:tc>
        <w:tc>
          <w:tcPr>
            <w:tcW w:w="1999" w:type="pct"/>
            <w:vAlign w:val="top"/>
          </w:tcPr>
          <w:p w14:paraId="3F160E1E">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20099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3000" w:type="pct"/>
            <w:vAlign w:val="top"/>
          </w:tcPr>
          <w:p w14:paraId="23DA6343">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3"/>
                <w:sz w:val="21"/>
                <w:szCs w:val="21"/>
              </w:rPr>
              <w:t>神经肽Y</w:t>
            </w:r>
          </w:p>
        </w:tc>
        <w:tc>
          <w:tcPr>
            <w:tcW w:w="1999" w:type="pct"/>
            <w:vAlign w:val="top"/>
          </w:tcPr>
          <w:p w14:paraId="0C73BBCF">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3D798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3000" w:type="pct"/>
            <w:vAlign w:val="top"/>
          </w:tcPr>
          <w:p w14:paraId="7B3C42BD">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3"/>
                <w:sz w:val="21"/>
                <w:szCs w:val="21"/>
              </w:rPr>
              <w:t>神经肽A</w:t>
            </w:r>
          </w:p>
        </w:tc>
        <w:tc>
          <w:tcPr>
            <w:tcW w:w="1999" w:type="pct"/>
            <w:vAlign w:val="top"/>
          </w:tcPr>
          <w:p w14:paraId="154598B0">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65115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3000" w:type="pct"/>
            <w:vAlign w:val="top"/>
          </w:tcPr>
          <w:p w14:paraId="6FAF9E8F">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2"/>
                <w:sz w:val="21"/>
                <w:szCs w:val="21"/>
              </w:rPr>
              <w:t>神经肽b</w:t>
            </w:r>
          </w:p>
        </w:tc>
        <w:tc>
          <w:tcPr>
            <w:tcW w:w="1999" w:type="pct"/>
            <w:vAlign w:val="top"/>
          </w:tcPr>
          <w:p w14:paraId="6513EB83">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6B565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jc w:val="center"/>
        </w:trPr>
        <w:tc>
          <w:tcPr>
            <w:tcW w:w="5000" w:type="pct"/>
            <w:gridSpan w:val="2"/>
            <w:vAlign w:val="top"/>
          </w:tcPr>
          <w:p w14:paraId="5AD2673E">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b/>
                <w:bCs/>
                <w:spacing w:val="-2"/>
                <w:sz w:val="21"/>
                <w:szCs w:val="21"/>
              </w:rPr>
              <w:t>痰液蛋白水平检测(9项)</w:t>
            </w:r>
          </w:p>
        </w:tc>
      </w:tr>
      <w:tr w14:paraId="08756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3000" w:type="pct"/>
            <w:vAlign w:val="top"/>
          </w:tcPr>
          <w:p w14:paraId="3CB871A6">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Toll</w:t>
            </w:r>
            <w:r>
              <w:rPr>
                <w:rFonts w:hint="eastAsia" w:ascii="仿宋" w:hAnsi="仿宋" w:eastAsia="仿宋" w:cs="仿宋"/>
                <w:spacing w:val="3"/>
                <w:sz w:val="21"/>
                <w:szCs w:val="21"/>
              </w:rPr>
              <w:t>样受体2</w:t>
            </w:r>
          </w:p>
        </w:tc>
        <w:tc>
          <w:tcPr>
            <w:tcW w:w="1999" w:type="pct"/>
            <w:vAlign w:val="top"/>
          </w:tcPr>
          <w:p w14:paraId="036678F1">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4FC43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jc w:val="center"/>
        </w:trPr>
        <w:tc>
          <w:tcPr>
            <w:tcW w:w="3000" w:type="pct"/>
            <w:vAlign w:val="top"/>
          </w:tcPr>
          <w:p w14:paraId="45536E75">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1"/>
                <w:sz w:val="21"/>
                <w:szCs w:val="21"/>
              </w:rPr>
              <w:t>Toll样受体4</w:t>
            </w:r>
          </w:p>
        </w:tc>
        <w:tc>
          <w:tcPr>
            <w:tcW w:w="1999" w:type="pct"/>
            <w:vAlign w:val="top"/>
          </w:tcPr>
          <w:p w14:paraId="3C23F005">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1327C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jc w:val="center"/>
        </w:trPr>
        <w:tc>
          <w:tcPr>
            <w:tcW w:w="3000" w:type="pct"/>
            <w:vAlign w:val="top"/>
          </w:tcPr>
          <w:p w14:paraId="73228E6C">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1"/>
                <w:sz w:val="21"/>
                <w:szCs w:val="21"/>
              </w:rPr>
              <w:t>NF-KB:核因子KB</w:t>
            </w:r>
          </w:p>
        </w:tc>
        <w:tc>
          <w:tcPr>
            <w:tcW w:w="1999" w:type="pct"/>
            <w:vAlign w:val="top"/>
          </w:tcPr>
          <w:p w14:paraId="30EC2FAD">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4AAFA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 w:hRule="atLeast"/>
          <w:jc w:val="center"/>
        </w:trPr>
        <w:tc>
          <w:tcPr>
            <w:tcW w:w="3000" w:type="pct"/>
            <w:vAlign w:val="top"/>
          </w:tcPr>
          <w:p w14:paraId="67A8C595">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1"/>
                <w:sz w:val="21"/>
                <w:szCs w:val="21"/>
              </w:rPr>
              <w:t>Ach:乙酰胆碱</w:t>
            </w:r>
          </w:p>
        </w:tc>
        <w:tc>
          <w:tcPr>
            <w:tcW w:w="1999" w:type="pct"/>
            <w:vAlign w:val="top"/>
          </w:tcPr>
          <w:p w14:paraId="6DF64437">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0231B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jc w:val="center"/>
        </w:trPr>
        <w:tc>
          <w:tcPr>
            <w:tcW w:w="3000" w:type="pct"/>
            <w:vAlign w:val="top"/>
          </w:tcPr>
          <w:p w14:paraId="04DA5357">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1"/>
                <w:sz w:val="21"/>
                <w:szCs w:val="21"/>
              </w:rPr>
              <w:t>AChE:乙酰胆碱酯酶</w:t>
            </w:r>
          </w:p>
        </w:tc>
        <w:tc>
          <w:tcPr>
            <w:tcW w:w="1999" w:type="pct"/>
            <w:vAlign w:val="top"/>
          </w:tcPr>
          <w:p w14:paraId="5FEC0DA2">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56B85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 w:hRule="atLeast"/>
          <w:jc w:val="center"/>
        </w:trPr>
        <w:tc>
          <w:tcPr>
            <w:tcW w:w="3000" w:type="pct"/>
            <w:vAlign w:val="top"/>
          </w:tcPr>
          <w:p w14:paraId="58599DA2">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α7nAChR:α7烟碱型乙酰胆碱受体</w:t>
            </w:r>
          </w:p>
        </w:tc>
        <w:tc>
          <w:tcPr>
            <w:tcW w:w="1999" w:type="pct"/>
            <w:vAlign w:val="top"/>
          </w:tcPr>
          <w:p w14:paraId="385C6204">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16369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jc w:val="center"/>
        </w:trPr>
        <w:tc>
          <w:tcPr>
            <w:tcW w:w="3000" w:type="pct"/>
            <w:vAlign w:val="top"/>
          </w:tcPr>
          <w:p w14:paraId="79B4DE90">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40"/>
                <w:sz w:val="21"/>
                <w:szCs w:val="21"/>
              </w:rPr>
              <w:t>MUC5AC:黏蛋白5AC</w:t>
            </w:r>
          </w:p>
        </w:tc>
        <w:tc>
          <w:tcPr>
            <w:tcW w:w="1999" w:type="pct"/>
            <w:vAlign w:val="top"/>
          </w:tcPr>
          <w:p w14:paraId="4D2FE47E">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7A84A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jc w:val="center"/>
        </w:trPr>
        <w:tc>
          <w:tcPr>
            <w:tcW w:w="3000" w:type="pct"/>
            <w:vAlign w:val="top"/>
          </w:tcPr>
          <w:p w14:paraId="0457AAFD">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TRPV</w:t>
            </w:r>
            <w:r>
              <w:rPr>
                <w:rFonts w:hint="eastAsia" w:ascii="仿宋" w:hAnsi="仿宋" w:eastAsia="仿宋" w:cs="仿宋"/>
                <w:spacing w:val="1"/>
                <w:sz w:val="21"/>
                <w:szCs w:val="21"/>
              </w:rPr>
              <w:t>1:瞬时受体电位香草酸亚型1</w:t>
            </w:r>
          </w:p>
        </w:tc>
        <w:tc>
          <w:tcPr>
            <w:tcW w:w="1999" w:type="pct"/>
            <w:vAlign w:val="top"/>
          </w:tcPr>
          <w:p w14:paraId="73D8B4FC">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3E09C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3000" w:type="pct"/>
            <w:vAlign w:val="top"/>
          </w:tcPr>
          <w:p w14:paraId="652722C8">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TRPA</w:t>
            </w:r>
            <w:r>
              <w:rPr>
                <w:rFonts w:hint="eastAsia" w:ascii="仿宋" w:hAnsi="仿宋" w:eastAsia="仿宋" w:cs="仿宋"/>
                <w:spacing w:val="1"/>
                <w:sz w:val="21"/>
                <w:szCs w:val="21"/>
              </w:rPr>
              <w:t>1:瞬时受体电位锚蛋白亚型1</w:t>
            </w:r>
          </w:p>
        </w:tc>
        <w:tc>
          <w:tcPr>
            <w:tcW w:w="1999" w:type="pct"/>
            <w:vAlign w:val="top"/>
          </w:tcPr>
          <w:p w14:paraId="42225EDE">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bl>
    <w:p w14:paraId="456A4E16">
      <w:pPr>
        <w:pStyle w:val="7"/>
        <w:keepNext w:val="0"/>
        <w:keepLines w:val="0"/>
        <w:pageBreakBefore w:val="0"/>
        <w:kinsoku/>
        <w:wordWrap/>
        <w:overflowPunct/>
        <w:topLinePunct w:val="0"/>
        <w:autoSpaceDE/>
        <w:autoSpaceDN/>
        <w:bidi w:val="0"/>
        <w:spacing w:after="0" w:afterLines="0" w:line="0" w:lineRule="atLeast"/>
        <w:rPr>
          <w:rFonts w:hint="eastAsia" w:ascii="仿宋" w:hAnsi="仿宋" w:eastAsia="仿宋" w:cs="仿宋"/>
          <w:sz w:val="21"/>
          <w:szCs w:val="21"/>
          <w:lang w:eastAsia="zh-CN"/>
        </w:rPr>
      </w:pPr>
    </w:p>
    <w:p w14:paraId="1B883ACA">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0" w:firstLineChars="0"/>
        <w:textAlignment w:val="auto"/>
        <w:rPr>
          <w:rFonts w:hint="eastAsia" w:ascii="仿宋" w:hAnsi="仿宋" w:eastAsia="仿宋" w:cs="仿宋"/>
          <w:b/>
          <w:bCs/>
          <w:sz w:val="21"/>
          <w:szCs w:val="21"/>
        </w:rPr>
      </w:pPr>
      <w:r>
        <w:rPr>
          <w:rFonts w:hint="eastAsia" w:ascii="仿宋" w:hAnsi="仿宋" w:eastAsia="仿宋" w:cs="仿宋"/>
          <w:b/>
          <w:bCs/>
          <w:sz w:val="21"/>
          <w:szCs w:val="21"/>
          <w:lang w:val="en-US" w:eastAsia="zh-CN"/>
        </w:rPr>
        <w:t>★2</w:t>
      </w:r>
      <w:r>
        <w:rPr>
          <w:rFonts w:hint="eastAsia" w:ascii="仿宋" w:hAnsi="仿宋" w:eastAsia="仿宋" w:cs="仿宋"/>
          <w:b/>
          <w:bCs/>
          <w:sz w:val="21"/>
          <w:szCs w:val="21"/>
        </w:rPr>
        <w:t>标本全流程技术规范(标本采集→转运→接收→存储)</w:t>
      </w:r>
    </w:p>
    <w:p w14:paraId="5C27D604">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标本采集与前处理指导</w:t>
      </w:r>
    </w:p>
    <w:p w14:paraId="292EE8A1">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中标方须免费提供标本采集规范、容器选择、抗凝/保存要求、拒收标准书面手册及线上版本，对本院医护、采样人员开展岗前培训。</w:t>
      </w:r>
    </w:p>
    <w:p w14:paraId="45C6E656">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针对特殊样本提供专项采集、分装、标记指导。</w:t>
      </w:r>
    </w:p>
    <w:p w14:paraId="3ADEF633">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统一标本标签规范：必须包含患者信息(姓名、住院/门诊号、科室)、样本编号、检测项目、采集时间、采样人；科研样本使用专属编号，隐去个人隐私信息。</w:t>
      </w:r>
    </w:p>
    <w:p w14:paraId="3B5C2275">
      <w:pPr>
        <w:pStyle w:val="6"/>
        <w:keepNext w:val="0"/>
        <w:keepLines w:val="0"/>
        <w:pageBreakBefore w:val="0"/>
        <w:widowControl w:val="0"/>
        <w:numPr>
          <w:ilvl w:val="0"/>
          <w:numId w:val="1"/>
        </w:numPr>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标本转运与冷链要求</w:t>
      </w:r>
    </w:p>
    <w:p w14:paraId="513A86AD">
      <w:pPr>
        <w:pStyle w:val="6"/>
        <w:keepNext w:val="0"/>
        <w:keepLines w:val="0"/>
        <w:pageBreakBefore w:val="0"/>
        <w:widowControl w:val="0"/>
        <w:numPr>
          <w:ilvl w:val="0"/>
          <w:numId w:val="0"/>
        </w:numPr>
        <w:kinsoku/>
        <w:wordWrap/>
        <w:overflowPunct/>
        <w:topLinePunct w:val="0"/>
        <w:autoSpaceDE/>
        <w:autoSpaceDN/>
        <w:bidi w:val="0"/>
        <w:adjustRightInd/>
        <w:snapToGrid/>
        <w:spacing w:after="0" w:afterLines="0" w:line="0" w:lineRule="atLeast"/>
        <w:ind w:firstLine="420" w:firstLineChars="0"/>
        <w:textAlignment w:val="auto"/>
        <w:rPr>
          <w:rFonts w:hint="eastAsia" w:ascii="仿宋" w:hAnsi="仿宋" w:eastAsia="仿宋" w:cs="仿宋"/>
          <w:sz w:val="21"/>
          <w:szCs w:val="21"/>
        </w:rPr>
      </w:pPr>
      <w:r>
        <w:rPr>
          <w:rFonts w:hint="eastAsia" w:ascii="仿宋" w:hAnsi="仿宋" w:eastAsia="仿宋" w:cs="仿宋"/>
          <w:sz w:val="21"/>
          <w:szCs w:val="21"/>
        </w:rPr>
        <w:t>建立全程冷链物流体系，配备专业冷链转运箱、温度记录仪、保温耗材，转运过程温度全程可追溯。</w:t>
      </w:r>
    </w:p>
    <w:p w14:paraId="6DB002F8">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常温样本：18～25℃;冷藏样本：2～8℃;冷冻样本：-20℃/-80℃分档转运。</w:t>
      </w:r>
    </w:p>
    <w:p w14:paraId="1EEF0E41">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本院指定地点每日定时上门收样，约定收样频次、收样时间、对接人员；急诊标本优先加急转运。</w:t>
      </w:r>
    </w:p>
    <w:p w14:paraId="46531DD7">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所有转运车辆、容器定期消毒，符合生物安全运输规范；样本外包装明确生物危害标识。</w:t>
      </w:r>
    </w:p>
    <w:p w14:paraId="42D7BB04">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转运途中发生标本破损、渗漏、变质、丢失，由中标方承担全部责任，免费重新检测并出具说明。</w:t>
      </w:r>
    </w:p>
    <w:p w14:paraId="143968F6">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标本接收、拒收与存储</w:t>
      </w:r>
    </w:p>
    <w:p w14:paraId="4DB32F88">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双方建立标本交接台账，逐份核对样本信息、数量、状态，签字确认，台账留存不少于3年。</w:t>
      </w:r>
    </w:p>
    <w:p w14:paraId="1C6F1CD7">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明确标本拒收标准：溶血、脂血、凝块、量不足、标识错误、超时失效、保存不当等，第一时间书面反馈本院，说明原因并指导重新采样。</w:t>
      </w:r>
    </w:p>
    <w:p w14:paraId="7C46E731">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检测完成后：临床样本按规范留存7天以上，科研样本根据课题要求协商留存周期；过期样本按医疗废物规范无害化处理，留存处理记录。</w:t>
      </w:r>
    </w:p>
    <w:p w14:paraId="2D183C03">
      <w:pPr>
        <w:pStyle w:val="8"/>
        <w:keepNext w:val="0"/>
        <w:keepLines w:val="0"/>
        <w:pageBreakBefore w:val="0"/>
        <w:kinsoku/>
        <w:wordWrap/>
        <w:overflowPunct/>
        <w:topLinePunct w:val="0"/>
        <w:autoSpaceDE/>
        <w:autoSpaceDN/>
        <w:bidi w:val="0"/>
        <w:spacing w:line="0" w:lineRule="atLeast"/>
        <w:rPr>
          <w:rFonts w:hint="eastAsia" w:ascii="方正仿宋_GB2312" w:hAnsi="方正仿宋_GB2312" w:eastAsia="方正仿宋_GB2312" w:cs="方正仿宋_GB2312"/>
          <w:sz w:val="21"/>
          <w:szCs w:val="21"/>
        </w:rPr>
      </w:pPr>
      <w:r>
        <w:rPr>
          <w:rFonts w:hint="eastAsia" w:ascii="仿宋" w:hAnsi="仿宋" w:eastAsia="仿宋" w:cs="仿宋"/>
          <w:color w:val="auto"/>
          <w:sz w:val="21"/>
          <w:szCs w:val="21"/>
          <w:highlight w:val="none"/>
        </w:rPr>
        <w:t>注：带“</w:t>
      </w:r>
      <w:r>
        <w:rPr>
          <w:rFonts w:hint="eastAsia" w:ascii="仿宋" w:hAnsi="仿宋" w:eastAsia="仿宋" w:cs="仿宋"/>
          <w:b/>
          <w:bCs/>
          <w:sz w:val="21"/>
          <w:szCs w:val="21"/>
          <w:lang w:val="en-US" w:eastAsia="zh-CN"/>
        </w:rPr>
        <w:t>★</w:t>
      </w:r>
      <w:r>
        <w:rPr>
          <w:rFonts w:hint="eastAsia" w:ascii="仿宋" w:hAnsi="仿宋" w:eastAsia="仿宋" w:cs="仿宋"/>
          <w:color w:val="auto"/>
          <w:sz w:val="21"/>
          <w:szCs w:val="21"/>
          <w:highlight w:val="none"/>
        </w:rPr>
        <w:t>”的参数需求为实质性要求，供应商必须响应并满足的</w:t>
      </w:r>
      <w:r>
        <w:rPr>
          <w:rFonts w:hint="eastAsia" w:ascii="仿宋" w:hAnsi="仿宋" w:eastAsia="仿宋" w:cs="仿宋"/>
          <w:color w:val="auto"/>
          <w:sz w:val="21"/>
          <w:szCs w:val="21"/>
          <w:highlight w:val="none"/>
          <w:lang w:val="en-US" w:eastAsia="zh-CN"/>
        </w:rPr>
        <w:t>服务</w:t>
      </w:r>
      <w:r>
        <w:rPr>
          <w:rFonts w:hint="eastAsia" w:ascii="仿宋" w:hAnsi="仿宋" w:eastAsia="仿宋" w:cs="仿宋"/>
          <w:color w:val="auto"/>
          <w:sz w:val="21"/>
          <w:szCs w:val="21"/>
          <w:highlight w:val="none"/>
        </w:rPr>
        <w:t>需求。</w:t>
      </w:r>
    </w:p>
    <w:p w14:paraId="7BD54A80">
      <w:pPr>
        <w:pStyle w:val="6"/>
        <w:keepNext w:val="0"/>
        <w:keepLines w:val="0"/>
        <w:pageBreakBefore w:val="0"/>
        <w:kinsoku/>
        <w:wordWrap/>
        <w:overflowPunct/>
        <w:topLinePunct w:val="0"/>
        <w:autoSpaceDE/>
        <w:autoSpaceDN/>
        <w:bidi w:val="0"/>
        <w:adjustRightInd w:val="0"/>
        <w:snapToGrid w:val="0"/>
        <w:spacing w:after="0" w:afterLines="0" w:line="0" w:lineRule="atLeast"/>
        <w:ind w:left="0" w:leftChars="0" w:firstLine="0" w:firstLineChars="0"/>
        <w:textAlignment w:val="auto"/>
        <w:rPr>
          <w:rFonts w:hint="eastAsia" w:ascii="方正仿宋_GB2312" w:hAnsi="方正仿宋_GB2312" w:eastAsia="方正仿宋_GB2312" w:cs="方正仿宋_GB2312"/>
          <w:sz w:val="21"/>
          <w:szCs w:val="21"/>
        </w:rPr>
      </w:pPr>
    </w:p>
    <w:p w14:paraId="21458DE9">
      <w:pPr>
        <w:pStyle w:val="14"/>
        <w:keepNext w:val="0"/>
        <w:keepLines w:val="0"/>
        <w:pageBreakBefore w:val="0"/>
        <w:widowControl/>
        <w:kinsoku/>
        <w:wordWrap/>
        <w:overflowPunct/>
        <w:topLinePunct w:val="0"/>
        <w:autoSpaceDE/>
        <w:autoSpaceDN/>
        <w:bidi w:val="0"/>
        <w:adjustRightInd/>
        <w:snapToGrid w:val="0"/>
        <w:spacing w:line="0" w:lineRule="atLeast"/>
        <w:ind w:left="0"/>
        <w:textAlignment w:val="auto"/>
        <w:outlineLvl w:val="1"/>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b/>
          <w:bCs/>
          <w:sz w:val="21"/>
          <w:szCs w:val="21"/>
          <w:lang w:val="en-US" w:eastAsia="zh-CN"/>
        </w:rPr>
        <w:t>★二、</w:t>
      </w:r>
      <w:r>
        <w:rPr>
          <w:rFonts w:hint="eastAsia" w:ascii="方正仿宋_GB2312" w:hAnsi="方正仿宋_GB2312" w:eastAsia="方正仿宋_GB2312" w:cs="方正仿宋_GB2312"/>
          <w:b/>
          <w:color w:val="auto"/>
          <w:sz w:val="28"/>
          <w:highlight w:val="none"/>
        </w:rPr>
        <w:t>商务要求</w:t>
      </w:r>
    </w:p>
    <w:p w14:paraId="7F4ECC0E">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2"/>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b/>
          <w:color w:val="auto"/>
          <w:sz w:val="21"/>
          <w:szCs w:val="21"/>
          <w:highlight w:val="none"/>
          <w:lang w:val="en-US" w:eastAsia="zh-CN"/>
        </w:rPr>
        <w:t>1交货时间（</w:t>
      </w:r>
      <w:r>
        <w:rPr>
          <w:rFonts w:hint="eastAsia" w:ascii="方正仿宋_GB2312" w:hAnsi="方正仿宋_GB2312" w:eastAsia="方正仿宋_GB2312" w:cs="方正仿宋_GB2312"/>
          <w:b/>
          <w:color w:val="auto"/>
          <w:sz w:val="21"/>
          <w:szCs w:val="21"/>
          <w:highlight w:val="none"/>
        </w:rPr>
        <w:t>服务期限</w:t>
      </w:r>
      <w:r>
        <w:rPr>
          <w:rFonts w:hint="eastAsia" w:ascii="方正仿宋_GB2312" w:hAnsi="方正仿宋_GB2312" w:eastAsia="方正仿宋_GB2312" w:cs="方正仿宋_GB2312"/>
          <w:b/>
          <w:color w:val="auto"/>
          <w:sz w:val="21"/>
          <w:szCs w:val="21"/>
          <w:highlight w:val="none"/>
          <w:lang w:eastAsia="zh-CN"/>
        </w:rPr>
        <w:t>）</w:t>
      </w:r>
      <w:r>
        <w:rPr>
          <w:rFonts w:hint="eastAsia" w:ascii="方正仿宋_GB2312" w:hAnsi="方正仿宋_GB2312" w:eastAsia="方正仿宋_GB2312" w:cs="方正仿宋_GB2312"/>
          <w:b/>
          <w:color w:val="auto"/>
          <w:sz w:val="21"/>
          <w:szCs w:val="21"/>
          <w:highlight w:val="none"/>
          <w:lang w:val="en-US" w:eastAsia="zh-CN"/>
        </w:rPr>
        <w:t>:</w:t>
      </w:r>
      <w:r>
        <w:rPr>
          <w:rFonts w:hint="eastAsia" w:ascii="方正仿宋_GB2312" w:hAnsi="方正仿宋_GB2312" w:eastAsia="方正仿宋_GB2312" w:cs="方正仿宋_GB2312"/>
          <w:color w:val="auto"/>
          <w:sz w:val="21"/>
          <w:szCs w:val="21"/>
          <w:highlight w:val="none"/>
        </w:rPr>
        <w:t>自合同签订之日起</w:t>
      </w:r>
      <w:r>
        <w:rPr>
          <w:rFonts w:hint="eastAsia" w:ascii="方正仿宋_GB2312" w:hAnsi="方正仿宋_GB2312" w:eastAsia="方正仿宋_GB2312" w:cs="方正仿宋_GB2312"/>
          <w:color w:val="auto"/>
          <w:sz w:val="21"/>
          <w:szCs w:val="21"/>
          <w:highlight w:val="none"/>
          <w:lang w:val="en-US" w:eastAsia="zh-CN"/>
        </w:rPr>
        <w:t>90日</w:t>
      </w:r>
    </w:p>
    <w:p w14:paraId="700413D2">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2"/>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b/>
          <w:color w:val="auto"/>
          <w:sz w:val="21"/>
          <w:szCs w:val="21"/>
          <w:highlight w:val="none"/>
        </w:rPr>
        <w:t>2</w:t>
      </w:r>
      <w:r>
        <w:rPr>
          <w:rFonts w:hint="eastAsia" w:ascii="方正仿宋_GB2312" w:hAnsi="方正仿宋_GB2312" w:eastAsia="方正仿宋_GB2312" w:cs="方正仿宋_GB2312"/>
          <w:b/>
          <w:color w:val="auto"/>
          <w:sz w:val="21"/>
          <w:szCs w:val="21"/>
          <w:highlight w:val="none"/>
          <w:lang w:val="en-US" w:eastAsia="zh-CN"/>
        </w:rPr>
        <w:t>交货（</w:t>
      </w:r>
      <w:r>
        <w:rPr>
          <w:rFonts w:hint="eastAsia" w:ascii="方正仿宋_GB2312" w:hAnsi="方正仿宋_GB2312" w:eastAsia="方正仿宋_GB2312" w:cs="方正仿宋_GB2312"/>
          <w:b/>
          <w:color w:val="auto"/>
          <w:sz w:val="21"/>
          <w:szCs w:val="21"/>
          <w:highlight w:val="none"/>
        </w:rPr>
        <w:t>服务</w:t>
      </w:r>
      <w:r>
        <w:rPr>
          <w:rFonts w:hint="eastAsia" w:ascii="方正仿宋_GB2312" w:hAnsi="方正仿宋_GB2312" w:eastAsia="方正仿宋_GB2312" w:cs="方正仿宋_GB2312"/>
          <w:b/>
          <w:color w:val="auto"/>
          <w:sz w:val="21"/>
          <w:szCs w:val="21"/>
          <w:highlight w:val="none"/>
          <w:lang w:eastAsia="zh-CN"/>
        </w:rPr>
        <w:t>）</w:t>
      </w:r>
      <w:r>
        <w:rPr>
          <w:rFonts w:hint="eastAsia" w:ascii="方正仿宋_GB2312" w:hAnsi="方正仿宋_GB2312" w:eastAsia="方正仿宋_GB2312" w:cs="方正仿宋_GB2312"/>
          <w:b/>
          <w:color w:val="auto"/>
          <w:sz w:val="21"/>
          <w:szCs w:val="21"/>
          <w:highlight w:val="none"/>
        </w:rPr>
        <w:t>地点</w:t>
      </w:r>
      <w:r>
        <w:rPr>
          <w:rFonts w:hint="eastAsia" w:ascii="方正仿宋_GB2312" w:hAnsi="方正仿宋_GB2312" w:eastAsia="方正仿宋_GB2312" w:cs="方正仿宋_GB2312"/>
          <w:b/>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眉山市人民医院</w:t>
      </w:r>
    </w:p>
    <w:p w14:paraId="4F97961A">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2"/>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b/>
          <w:color w:val="auto"/>
          <w:sz w:val="21"/>
          <w:szCs w:val="21"/>
          <w:highlight w:val="none"/>
        </w:rPr>
        <w:t>3支付方式</w:t>
      </w:r>
      <w:r>
        <w:rPr>
          <w:rFonts w:hint="eastAsia" w:ascii="方正仿宋_GB2312" w:hAnsi="方正仿宋_GB2312" w:eastAsia="方正仿宋_GB2312" w:cs="方正仿宋_GB2312"/>
          <w:b/>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lang w:val="en-US" w:eastAsia="zh-CN"/>
        </w:rPr>
        <w:t>银行转账</w:t>
      </w:r>
    </w:p>
    <w:p w14:paraId="284A7459">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2"/>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b/>
          <w:color w:val="auto"/>
          <w:sz w:val="21"/>
          <w:szCs w:val="21"/>
          <w:highlight w:val="none"/>
        </w:rPr>
        <w:t>4支付约定</w:t>
      </w:r>
    </w:p>
    <w:p w14:paraId="5565CF19">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9"/>
        <w:rPr>
          <w:rFonts w:hint="eastAsia" w:ascii="方正仿宋_GB2312" w:hAnsi="方正仿宋_GB2312" w:eastAsia="方正仿宋_GB2312" w:cs="方正仿宋_GB2312"/>
          <w:b w:val="0"/>
          <w:bCs w:val="0"/>
          <w:color w:val="auto"/>
          <w:sz w:val="21"/>
          <w:szCs w:val="21"/>
          <w:highlight w:val="none"/>
          <w:lang w:val="en-US" w:eastAsia="zh-CN"/>
        </w:rPr>
      </w:pPr>
      <w:r>
        <w:rPr>
          <w:rFonts w:hint="eastAsia" w:ascii="方正仿宋_GB2312" w:hAnsi="方正仿宋_GB2312" w:eastAsia="方正仿宋_GB2312" w:cs="方正仿宋_GB2312"/>
          <w:b w:val="0"/>
          <w:bCs w:val="0"/>
          <w:color w:val="auto"/>
          <w:sz w:val="21"/>
          <w:szCs w:val="21"/>
          <w:highlight w:val="none"/>
          <w:lang w:val="en-US" w:eastAsia="zh-CN"/>
        </w:rPr>
        <w:t>1)在服务期内，按照实际检测情况支付，此项目支付总金额不得超过预算金额。</w:t>
      </w:r>
    </w:p>
    <w:p w14:paraId="22A57C5B">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9"/>
        <w:rPr>
          <w:rFonts w:hint="eastAsia" w:ascii="方正仿宋_GB2312" w:hAnsi="方正仿宋_GB2312" w:eastAsia="方正仿宋_GB2312" w:cs="方正仿宋_GB2312"/>
          <w:b w:val="0"/>
          <w:bCs w:val="0"/>
          <w:color w:val="auto"/>
          <w:sz w:val="21"/>
          <w:szCs w:val="21"/>
          <w:highlight w:val="none"/>
          <w:lang w:val="en-US" w:eastAsia="zh-CN"/>
        </w:rPr>
      </w:pPr>
      <w:r>
        <w:rPr>
          <w:rFonts w:hint="eastAsia" w:ascii="方正仿宋_GB2312" w:hAnsi="方正仿宋_GB2312" w:eastAsia="方正仿宋_GB2312" w:cs="方正仿宋_GB2312"/>
          <w:b w:val="0"/>
          <w:bCs w:val="0"/>
          <w:color w:val="auto"/>
          <w:sz w:val="21"/>
          <w:szCs w:val="21"/>
          <w:highlight w:val="none"/>
          <w:lang w:val="en-US" w:eastAsia="zh-CN"/>
        </w:rPr>
        <w:t>2)收到供应商提供的完整的付款资料，经采购人审核后30日内支付款项。</w:t>
      </w:r>
    </w:p>
    <w:p w14:paraId="50A7B61B">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9"/>
        <w:rPr>
          <w:rFonts w:hint="eastAsia" w:ascii="方正仿宋_GB2312" w:hAnsi="方正仿宋_GB2312" w:eastAsia="方正仿宋_GB2312" w:cs="方正仿宋_GB2312"/>
          <w:b w:val="0"/>
          <w:bCs w:val="0"/>
          <w:color w:val="auto"/>
          <w:sz w:val="21"/>
          <w:szCs w:val="21"/>
          <w:highlight w:val="none"/>
          <w:lang w:val="en-US" w:eastAsia="zh-CN"/>
        </w:rPr>
      </w:pPr>
      <w:r>
        <w:rPr>
          <w:rFonts w:hint="eastAsia" w:ascii="方正仿宋_GB2312" w:hAnsi="方正仿宋_GB2312" w:eastAsia="方正仿宋_GB2312" w:cs="方正仿宋_GB2312"/>
          <w:b w:val="0"/>
          <w:bCs w:val="0"/>
          <w:color w:val="auto"/>
          <w:sz w:val="21"/>
          <w:szCs w:val="21"/>
          <w:highlight w:val="none"/>
          <w:lang w:val="en-US" w:eastAsia="zh-CN"/>
        </w:rPr>
        <w:t>3)甲方支付价款之前，乙方须向甲方出具合法有效完整的完税发票及凭证资料作为支付结算的必要条件，乙方未提供相应完税发票的，付款期限顺延，不视为违约；</w:t>
      </w:r>
    </w:p>
    <w:p w14:paraId="365A33FF">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2"/>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5验收标准和方法</w:t>
      </w:r>
    </w:p>
    <w:p w14:paraId="2E842976">
      <w:pPr>
        <w:pStyle w:val="14"/>
        <w:keepNext w:val="0"/>
        <w:keepLines w:val="0"/>
        <w:pageBreakBefore w:val="0"/>
        <w:widowControl/>
        <w:numPr>
          <w:ilvl w:val="0"/>
          <w:numId w:val="0"/>
        </w:numPr>
        <w:kinsoku/>
        <w:wordWrap/>
        <w:overflowPunct/>
        <w:topLinePunct w:val="0"/>
        <w:autoSpaceDE/>
        <w:autoSpaceDN/>
        <w:bidi w:val="0"/>
        <w:adjustRightInd/>
        <w:snapToGrid w:val="0"/>
        <w:spacing w:line="0" w:lineRule="atLeast"/>
        <w:ind w:leftChars="0"/>
        <w:textAlignment w:val="auto"/>
        <w:outlineLvl w:val="9"/>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履约验收的主体：</w:t>
      </w:r>
    </w:p>
    <w:p w14:paraId="51E0EBE6">
      <w:pPr>
        <w:pStyle w:val="14"/>
        <w:keepNext w:val="0"/>
        <w:keepLines w:val="0"/>
        <w:pageBreakBefore w:val="0"/>
        <w:widowControl/>
        <w:numPr>
          <w:ilvl w:val="0"/>
          <w:numId w:val="0"/>
        </w:numPr>
        <w:kinsoku/>
        <w:wordWrap/>
        <w:overflowPunct/>
        <w:topLinePunct w:val="0"/>
        <w:autoSpaceDE/>
        <w:autoSpaceDN/>
        <w:bidi w:val="0"/>
        <w:adjustRightInd/>
        <w:snapToGrid w:val="0"/>
        <w:spacing w:line="0" w:lineRule="atLeast"/>
        <w:ind w:leftChars="0" w:firstLine="420" w:firstLineChars="0"/>
        <w:textAlignment w:val="auto"/>
        <w:outlineLvl w:val="9"/>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rPr>
        <w:t>眉山市人民医院</w:t>
      </w:r>
      <w:r>
        <w:rPr>
          <w:rFonts w:hint="eastAsia" w:ascii="方正仿宋_GB2312" w:hAnsi="方正仿宋_GB2312" w:eastAsia="方正仿宋_GB2312" w:cs="方正仿宋_GB2312"/>
          <w:color w:val="auto"/>
          <w:sz w:val="21"/>
          <w:szCs w:val="21"/>
          <w:highlight w:val="none"/>
          <w:lang w:eastAsia="zh-CN"/>
        </w:rPr>
        <w:t>；</w:t>
      </w:r>
      <w:r>
        <w:rPr>
          <w:rFonts w:hint="eastAsia" w:ascii="方正仿宋_GB2312" w:hAnsi="方正仿宋_GB2312" w:eastAsia="方正仿宋_GB2312" w:cs="方正仿宋_GB2312"/>
          <w:color w:val="auto"/>
          <w:sz w:val="21"/>
          <w:szCs w:val="21"/>
          <w:highlight w:val="none"/>
        </w:rPr>
        <w:t>验收组织方式：自行验收。履约验收程序：一次性验收。履约验收标准：按国家相关法律、行业标准验收。</w:t>
      </w:r>
    </w:p>
    <w:p w14:paraId="2C4F6CDF">
      <w:pPr>
        <w:pStyle w:val="14"/>
        <w:keepNext w:val="0"/>
        <w:keepLines w:val="0"/>
        <w:pageBreakBefore w:val="0"/>
        <w:widowControl/>
        <w:kinsoku/>
        <w:wordWrap/>
        <w:overflowPunct/>
        <w:topLinePunct w:val="0"/>
        <w:autoSpaceDE/>
        <w:autoSpaceDN/>
        <w:bidi w:val="0"/>
        <w:adjustRightInd/>
        <w:snapToGrid w:val="0"/>
        <w:spacing w:line="0" w:lineRule="atLeast"/>
        <w:ind w:left="0" w:firstLine="420" w:firstLineChars="0"/>
        <w:textAlignment w:val="auto"/>
        <w:outlineLvl w:val="9"/>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rPr>
        <w:t>履约验收其他事项：</w:t>
      </w:r>
      <w:r>
        <w:rPr>
          <w:rFonts w:hint="eastAsia" w:ascii="方正仿宋_GB2312" w:hAnsi="方正仿宋_GB2312" w:eastAsia="方正仿宋_GB2312" w:cs="方正仿宋_GB2312"/>
          <w:color w:val="auto"/>
          <w:sz w:val="21"/>
          <w:szCs w:val="21"/>
          <w:highlight w:val="none"/>
          <w:lang w:val="en-US" w:eastAsia="zh-CN"/>
        </w:rPr>
        <w:t>①按照采购文件及合同约定的内容验收，如发现任何一项与合同约定的内容承诺不符，采购人有权拒绝接受，给采购人带来损失的将按相关规定进行赔偿和承担虚假响应责任。不得非法收集、外泄采购人业务数据。确保采购人业务数据、网络和信息安全。</w:t>
      </w:r>
    </w:p>
    <w:p w14:paraId="30D497DB">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9"/>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color w:val="auto"/>
          <w:sz w:val="21"/>
          <w:szCs w:val="21"/>
          <w:highlight w:val="none"/>
          <w:lang w:val="en-US" w:eastAsia="zh-CN"/>
        </w:rPr>
        <w:t>③未尽事宜将按照《财政部关于进一步加强政府采购需求和履约验收管理的指导意见》(财库(2016) 205号)、《政府采购需求管理办法》(财库(2021) 22号)的要求及国家行业主管部门规定的标准、方法和内容进行验收。</w:t>
      </w:r>
    </w:p>
    <w:p w14:paraId="0D41609E">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leftChars="0"/>
        <w:textAlignment w:val="auto"/>
        <w:rPr>
          <w:rFonts w:hint="eastAsia" w:ascii="方正仿宋_GB2312" w:hAnsi="方正仿宋_GB2312" w:eastAsia="方正仿宋_GB2312" w:cs="方正仿宋_GB2312"/>
          <w:b/>
          <w:bCs/>
          <w:color w:val="auto"/>
          <w:sz w:val="21"/>
          <w:szCs w:val="21"/>
          <w:highlight w:val="none"/>
          <w:lang w:val="en-US" w:eastAsia="zh-CN"/>
        </w:rPr>
      </w:pPr>
      <w:r>
        <w:rPr>
          <w:rFonts w:hint="eastAsia" w:ascii="方正仿宋_GB2312" w:hAnsi="方正仿宋_GB2312" w:eastAsia="方正仿宋_GB2312" w:cs="方正仿宋_GB2312"/>
          <w:b/>
          <w:bCs/>
          <w:color w:val="auto"/>
          <w:sz w:val="21"/>
          <w:szCs w:val="21"/>
          <w:highlight w:val="none"/>
          <w:lang w:val="en-US" w:eastAsia="zh-CN"/>
        </w:rPr>
        <w:t>6其它要求</w:t>
      </w:r>
    </w:p>
    <w:p w14:paraId="45F76619">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leftChars="0"/>
        <w:textAlignment w:val="auto"/>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lang w:val="en-US" w:eastAsia="zh-CN"/>
        </w:rPr>
        <w:t>1、</w:t>
      </w:r>
      <w:r>
        <w:rPr>
          <w:rFonts w:hint="eastAsia" w:ascii="方正仿宋_GB2312" w:hAnsi="方正仿宋_GB2312" w:eastAsia="方正仿宋_GB2312" w:cs="方正仿宋_GB2312"/>
          <w:b w:val="0"/>
          <w:bCs w:val="0"/>
          <w:color w:val="auto"/>
          <w:sz w:val="21"/>
          <w:szCs w:val="21"/>
          <w:highlight w:val="none"/>
          <w:u w:val="single"/>
          <w:lang w:val="en-US" w:eastAsia="zh-CN"/>
        </w:rPr>
        <w:t>第三方检测机构必须是中方内资单位，</w:t>
      </w:r>
      <w:r>
        <w:rPr>
          <w:rFonts w:hint="eastAsia" w:ascii="方正仿宋_GB2312" w:hAnsi="方正仿宋_GB2312" w:eastAsia="方正仿宋_GB2312" w:cs="方正仿宋_GB2312"/>
          <w:color w:val="auto"/>
          <w:sz w:val="21"/>
          <w:szCs w:val="21"/>
          <w:highlight w:val="none"/>
          <w:lang w:val="en-US" w:eastAsia="zh-CN"/>
        </w:rPr>
        <w:t>严禁外资 / 境外实控。（检测机构必须是中方内资单位的承诺书）</w:t>
      </w:r>
    </w:p>
    <w:p w14:paraId="79FE2757">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leftChars="0"/>
        <w:textAlignment w:val="auto"/>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color w:val="auto"/>
          <w:sz w:val="21"/>
          <w:szCs w:val="21"/>
          <w:highlight w:val="none"/>
          <w:lang w:val="en-US" w:eastAsia="zh-CN"/>
        </w:rPr>
        <w:t>2、</w:t>
      </w:r>
      <w:r>
        <w:rPr>
          <w:rFonts w:hint="eastAsia" w:ascii="方正仿宋_GB2312" w:hAnsi="方正仿宋_GB2312" w:eastAsia="方正仿宋_GB2312" w:cs="方正仿宋_GB2312"/>
          <w:color w:val="auto"/>
          <w:sz w:val="21"/>
          <w:szCs w:val="21"/>
          <w:highlight w:val="none"/>
          <w:u w:val="single"/>
          <w:lang w:val="en-US" w:eastAsia="zh-CN"/>
        </w:rPr>
        <w:t>样本必须全流程境内闭环、不外流、规范销毁、隐私保护。</w:t>
      </w:r>
      <w:r>
        <w:rPr>
          <w:rFonts w:hint="eastAsia" w:ascii="方正仿宋_GB2312" w:hAnsi="方正仿宋_GB2312" w:eastAsia="方正仿宋_GB2312" w:cs="方正仿宋_GB2312"/>
          <w:color w:val="auto"/>
          <w:sz w:val="21"/>
          <w:szCs w:val="21"/>
          <w:highlight w:val="none"/>
          <w:lang w:val="en-US" w:eastAsia="zh-CN"/>
        </w:rPr>
        <w:t>（“样本必须全流程境内闭环、不外流、规范销毁、隐私保护”的承诺书）</w:t>
      </w:r>
    </w:p>
    <w:p w14:paraId="3A6E46B1">
      <w:pPr>
        <w:pStyle w:val="14"/>
        <w:keepNext w:val="0"/>
        <w:keepLines w:val="0"/>
        <w:pageBreakBefore w:val="0"/>
        <w:widowControl/>
        <w:kinsoku/>
        <w:wordWrap/>
        <w:overflowPunct/>
        <w:topLinePunct w:val="0"/>
        <w:autoSpaceDE/>
        <w:autoSpaceDN/>
        <w:bidi w:val="0"/>
        <w:adjustRightInd w:val="0"/>
        <w:snapToGrid w:val="0"/>
        <w:spacing w:line="0" w:lineRule="atLeast"/>
        <w:ind w:left="0" w:firstLine="0" w:firstLineChars="0"/>
        <w:textAlignment w:val="auto"/>
        <w:outlineLvl w:val="9"/>
        <w:rPr>
          <w:rFonts w:hint="eastAsia" w:ascii="方正仿宋_GB2312" w:hAnsi="方正仿宋_GB2312" w:eastAsia="方正仿宋_GB2312" w:cs="方正仿宋_GB2312"/>
          <w:sz w:val="21"/>
          <w:szCs w:val="21"/>
          <w:lang w:val="en-US" w:eastAsia="zh-CN"/>
        </w:rPr>
      </w:pPr>
    </w:p>
    <w:p w14:paraId="42E10EAF">
      <w:pPr>
        <w:pStyle w:val="6"/>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0" w:lineRule="atLeast"/>
        <w:ind w:left="0" w:leftChars="0" w:firstLine="0" w:firstLineChars="0"/>
        <w:textAlignment w:val="auto"/>
        <w:rPr>
          <w:rFonts w:hint="eastAsia" w:ascii="方正仿宋_GB2312" w:hAnsi="方正仿宋_GB2312" w:eastAsia="方正仿宋_GB2312" w:cs="方正仿宋_GB2312"/>
          <w:sz w:val="21"/>
          <w:szCs w:val="21"/>
          <w:lang w:val="en-US" w:eastAsia="zh-CN"/>
        </w:rPr>
      </w:pPr>
    </w:p>
    <w:p w14:paraId="3AF371E3">
      <w:pPr>
        <w:pStyle w:val="6"/>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0" w:lineRule="atLeast"/>
        <w:ind w:left="0" w:leftChars="0" w:firstLine="0" w:firstLineChars="0"/>
        <w:textAlignment w:val="auto"/>
        <w:rPr>
          <w:rFonts w:hint="eastAsia" w:ascii="方正仿宋_GB2312" w:hAnsi="方正仿宋_GB2312" w:eastAsia="方正仿宋_GB2312" w:cs="方正仿宋_GB2312"/>
          <w:sz w:val="21"/>
          <w:szCs w:val="21"/>
          <w:lang w:val="en-US" w:eastAsia="zh-CN"/>
        </w:rPr>
      </w:pPr>
    </w:p>
    <w:p w14:paraId="03BAFF62">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0" w:lineRule="atLeast"/>
        <w:ind w:left="0" w:leftChars="0" w:right="0" w:firstLine="0" w:firstLineChars="0"/>
        <w:jc w:val="left"/>
        <w:textAlignment w:val="auto"/>
        <w:outlineLvl w:val="9"/>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b/>
          <w:bCs/>
          <w:sz w:val="21"/>
          <w:szCs w:val="21"/>
          <w:lang w:val="en-US" w:eastAsia="zh-CN"/>
        </w:rPr>
        <w:t>注：</w:t>
      </w:r>
      <w:r>
        <w:rPr>
          <w:rFonts w:hint="eastAsia" w:ascii="方正仿宋_GB2312" w:hAnsi="方正仿宋_GB2312" w:eastAsia="方正仿宋_GB2312" w:cs="方正仿宋_GB2312"/>
          <w:b/>
          <w:bCs/>
          <w:spacing w:val="10"/>
          <w:kern w:val="2"/>
          <w:sz w:val="21"/>
          <w:szCs w:val="21"/>
          <w:lang w:val="en-US" w:eastAsia="zh-CN" w:bidi="ar-SA"/>
        </w:rPr>
        <w:t>采购需求以报名后获取的采购文件为准</w:t>
      </w:r>
    </w:p>
    <w:sectPr>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55A">
      <wne:acd wne:acdName="acd0"/>
    </wne:keymap>
    <wne:keymap wne:kcmPrimary="0553">
      <wne:acd wne:acdName="acd1"/>
    </wne:keymap>
  </wne:keymaps>
  <wne:acds>
    <wne:acd wne:argValue="AgBsUYdlOgBja4dl" wne:acdName="acd0" wne:fciIndexBasedOn="0065"/>
    <wne:acd wne:argValue="AgBsUYdlOgBja4dlKAApf9uPKQ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1E3320A2-2F6A-4F70-88D6-622B0A7FC56A}"/>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embedRegular r:id="rId2" w:fontKey="{2CDD2B8B-3528-4F05-A31A-343691A45FD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1F277"/>
    <w:multiLevelType w:val="singleLevel"/>
    <w:tmpl w:val="88A1F27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5ZGExMGVkY2ZhNTlhYWQ2NjM3NmY1MWE4ZmZkYjIifQ=="/>
  </w:docVars>
  <w:rsids>
    <w:rsidRoot w:val="00000000"/>
    <w:rsid w:val="004C7331"/>
    <w:rsid w:val="02E64060"/>
    <w:rsid w:val="044D426F"/>
    <w:rsid w:val="046D53F8"/>
    <w:rsid w:val="0A033F19"/>
    <w:rsid w:val="0B7F5343"/>
    <w:rsid w:val="0C3B5451"/>
    <w:rsid w:val="0C505188"/>
    <w:rsid w:val="0C6211BE"/>
    <w:rsid w:val="0CA27F6D"/>
    <w:rsid w:val="109F3233"/>
    <w:rsid w:val="1311013A"/>
    <w:rsid w:val="140B02F2"/>
    <w:rsid w:val="15365071"/>
    <w:rsid w:val="157C084D"/>
    <w:rsid w:val="16FD16D7"/>
    <w:rsid w:val="17524E8E"/>
    <w:rsid w:val="1AEE2BA6"/>
    <w:rsid w:val="1EC97204"/>
    <w:rsid w:val="2067251D"/>
    <w:rsid w:val="227417D4"/>
    <w:rsid w:val="23C5488E"/>
    <w:rsid w:val="26B508AF"/>
    <w:rsid w:val="271C299A"/>
    <w:rsid w:val="2D2A38E5"/>
    <w:rsid w:val="2E8B726C"/>
    <w:rsid w:val="34304269"/>
    <w:rsid w:val="348D23B4"/>
    <w:rsid w:val="35817FB5"/>
    <w:rsid w:val="35D442B1"/>
    <w:rsid w:val="37614612"/>
    <w:rsid w:val="388C5B8C"/>
    <w:rsid w:val="391A37D2"/>
    <w:rsid w:val="41774336"/>
    <w:rsid w:val="41EA4926"/>
    <w:rsid w:val="42611561"/>
    <w:rsid w:val="426202FB"/>
    <w:rsid w:val="4427351F"/>
    <w:rsid w:val="4454186C"/>
    <w:rsid w:val="46FC54DD"/>
    <w:rsid w:val="47F16FFF"/>
    <w:rsid w:val="48CC5807"/>
    <w:rsid w:val="491078A4"/>
    <w:rsid w:val="4A85695F"/>
    <w:rsid w:val="4C54665B"/>
    <w:rsid w:val="4D271BFF"/>
    <w:rsid w:val="4D3159A8"/>
    <w:rsid w:val="4F0F2043"/>
    <w:rsid w:val="4F2A2ACA"/>
    <w:rsid w:val="54665717"/>
    <w:rsid w:val="54D94248"/>
    <w:rsid w:val="569A3030"/>
    <w:rsid w:val="5D45271F"/>
    <w:rsid w:val="5D8D5B48"/>
    <w:rsid w:val="5EC50168"/>
    <w:rsid w:val="5F2E2567"/>
    <w:rsid w:val="60353A32"/>
    <w:rsid w:val="639F07CF"/>
    <w:rsid w:val="65E627D6"/>
    <w:rsid w:val="6C7227EB"/>
    <w:rsid w:val="6CFC1039"/>
    <w:rsid w:val="6ECE6065"/>
    <w:rsid w:val="70776B4D"/>
    <w:rsid w:val="70A24B63"/>
    <w:rsid w:val="70FD58CE"/>
    <w:rsid w:val="71DD097F"/>
    <w:rsid w:val="724D4AF9"/>
    <w:rsid w:val="799D0CA4"/>
    <w:rsid w:val="7D484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880" w:firstLineChars="200"/>
      <w:jc w:val="left"/>
    </w:pPr>
    <w:rPr>
      <w:rFonts w:ascii="Times New Roman" w:hAnsi="Times New Roman" w:eastAsia="仿宋_GB2312" w:cstheme="minorBidi"/>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Lines="0" w:afterAutospacing="0" w:line="560" w:lineRule="exact"/>
      <w:jc w:val="center"/>
      <w:outlineLvl w:val="0"/>
    </w:pPr>
    <w:rPr>
      <w:rFonts w:ascii="Times New Roman" w:hAnsi="Times New Roman" w:eastAsia="方正小标宋简体"/>
      <w:b/>
      <w:kern w:val="44"/>
      <w:sz w:val="44"/>
    </w:rPr>
  </w:style>
  <w:style w:type="paragraph" w:styleId="3">
    <w:name w:val="heading 2"/>
    <w:basedOn w:val="1"/>
    <w:next w:val="1"/>
    <w:autoRedefine/>
    <w:semiHidden/>
    <w:unhideWhenUsed/>
    <w:qFormat/>
    <w:uiPriority w:val="0"/>
    <w:pPr>
      <w:keepNext/>
      <w:keepLines/>
      <w:spacing w:before="260" w:after="260" w:line="500" w:lineRule="exact"/>
      <w:jc w:val="center"/>
      <w:outlineLvl w:val="1"/>
    </w:pPr>
    <w:rPr>
      <w:rFonts w:ascii="Arial" w:hAnsi="Arial" w:eastAsia="黑体" w:cs="Times New Roman"/>
      <w:sz w:val="36"/>
      <w:szCs w:val="20"/>
    </w:rPr>
  </w:style>
  <w:style w:type="paragraph" w:styleId="4">
    <w:name w:val="heading 3"/>
    <w:basedOn w:val="1"/>
    <w:next w:val="1"/>
    <w:autoRedefine/>
    <w:semiHidden/>
    <w:unhideWhenUsed/>
    <w:qFormat/>
    <w:uiPriority w:val="0"/>
    <w:pPr>
      <w:keepNext/>
      <w:keepLines/>
      <w:spacing w:beforeLines="0" w:beforeAutospacing="0" w:afterLines="0" w:afterAutospacing="0" w:line="560" w:lineRule="exact"/>
      <w:outlineLvl w:val="2"/>
    </w:pPr>
    <w:rPr>
      <w:rFonts w:ascii="Times New Roman" w:hAnsi="Times New Roman" w:eastAsia="楷体_GB2312"/>
      <w:b/>
      <w:sz w:val="32"/>
    </w:rPr>
  </w:style>
  <w:style w:type="paragraph" w:styleId="5">
    <w:name w:val="heading 4"/>
    <w:basedOn w:val="1"/>
    <w:next w:val="1"/>
    <w:autoRedefine/>
    <w:semiHidden/>
    <w:unhideWhenUsed/>
    <w:qFormat/>
    <w:uiPriority w:val="0"/>
    <w:pPr>
      <w:keepNext/>
      <w:keepLines/>
      <w:spacing w:before="280" w:beforeLines="0" w:beforeAutospacing="0" w:after="290" w:afterLines="0" w:afterAutospacing="0" w:line="372" w:lineRule="auto"/>
      <w:outlineLvl w:val="3"/>
    </w:pPr>
    <w:rPr>
      <w:rFonts w:ascii="Times New Roman" w:hAnsi="Times New Roman" w:eastAsia="黑体"/>
      <w:b/>
      <w:sz w:val="28"/>
    </w:rPr>
  </w:style>
  <w:style w:type="character" w:default="1" w:styleId="12">
    <w:name w:val="Default Paragraph Font"/>
    <w:autoRedefine/>
    <w:semiHidden/>
    <w:qFormat/>
    <w:uiPriority w:val="0"/>
    <w:rPr>
      <w:rFonts w:ascii="Calibri" w:hAnsi="Calibri" w:eastAsia="宋体"/>
      <w:sz w:val="18"/>
    </w:rPr>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6">
    <w:name w:val="Body Text"/>
    <w:basedOn w:val="1"/>
    <w:next w:val="7"/>
    <w:autoRedefine/>
    <w:qFormat/>
    <w:uiPriority w:val="0"/>
    <w:pPr>
      <w:spacing w:after="120" w:afterLines="0" w:afterAutospacing="0"/>
    </w:pPr>
  </w:style>
  <w:style w:type="paragraph" w:styleId="7">
    <w:name w:val="Body Text First Indent"/>
    <w:basedOn w:val="6"/>
    <w:next w:val="8"/>
    <w:autoRedefine/>
    <w:unhideWhenUsed/>
    <w:qFormat/>
    <w:uiPriority w:val="99"/>
    <w:pPr>
      <w:ind w:firstLine="420" w:firstLineChars="100"/>
    </w:pPr>
  </w:style>
  <w:style w:type="paragraph" w:customStyle="1" w:styleId="8">
    <w:name w:val="样式 正文首行缩进 + 首行缩进:  2 字符1 Char Char"/>
    <w:autoRedefine/>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szCs w:val="20"/>
      <w:lang w:val="en-US" w:eastAsia="zh-CN" w:bidi="ar-SA"/>
    </w:rPr>
  </w:style>
  <w:style w:type="paragraph" w:styleId="9">
    <w:name w:val="Date"/>
    <w:basedOn w:val="1"/>
    <w:next w:val="1"/>
    <w:autoRedefine/>
    <w:qFormat/>
    <w:uiPriority w:val="0"/>
    <w:pPr>
      <w:ind w:left="100" w:leftChars="2500"/>
    </w:pPr>
    <w:rPr>
      <w:rFonts w:ascii="Times New Roman" w:hAnsi="Times New Roman"/>
    </w:rPr>
  </w:style>
  <w:style w:type="paragraph" w:styleId="10">
    <w:name w:val="Normal (Web)"/>
    <w:basedOn w:val="1"/>
    <w:autoRedefine/>
    <w:unhideWhenUsed/>
    <w:qFormat/>
    <w:uiPriority w:val="99"/>
    <w:pPr>
      <w:spacing w:before="100" w:beforeAutospacing="1" w:after="100" w:afterAutospacing="1"/>
      <w:ind w:left="0" w:right="0"/>
      <w:jc w:val="left"/>
    </w:pPr>
    <w:rPr>
      <w:kern w:val="0"/>
      <w:sz w:val="24"/>
      <w:lang w:val="en-US" w:eastAsia="zh-CN" w:bidi="ar"/>
    </w:rPr>
  </w:style>
  <w:style w:type="paragraph" w:customStyle="1" w:styleId="13">
    <w:name w:val="正文4号字体"/>
    <w:basedOn w:val="1"/>
    <w:autoRedefine/>
    <w:qFormat/>
    <w:uiPriority w:val="0"/>
    <w:pPr>
      <w:keepNext/>
      <w:keepLines/>
      <w:ind w:firstLine="600" w:firstLineChars="200"/>
    </w:pPr>
    <w:rPr>
      <w:sz w:val="28"/>
    </w:rPr>
  </w:style>
  <w:style w:type="paragraph" w:customStyle="1" w:styleId="14">
    <w:name w:val="null3"/>
    <w:autoRedefine/>
    <w:hidden/>
    <w:qFormat/>
    <w:uiPriority w:val="0"/>
    <w:rPr>
      <w:rFonts w:hint="eastAsia" w:asciiTheme="minorHAnsi" w:hAnsiTheme="minorHAnsi" w:eastAsiaTheme="minorEastAsia" w:cstheme="minorBidi"/>
      <w:lang w:val="en-US" w:eastAsia="zh-Hans"/>
    </w:rPr>
  </w:style>
  <w:style w:type="paragraph" w:customStyle="1" w:styleId="15">
    <w:name w:val="正文 A"/>
    <w:autoRedefine/>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16">
    <w:name w:val="Table Text"/>
    <w:basedOn w:val="1"/>
    <w:semiHidden/>
    <w:qFormat/>
    <w:uiPriority w:val="0"/>
    <w:rPr>
      <w:rFonts w:ascii="宋体" w:hAnsi="宋体" w:eastAsia="宋体" w:cs="宋体"/>
      <w:sz w:val="29"/>
      <w:szCs w:val="29"/>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1511</Words>
  <Characters>1627</Characters>
  <Lines>0</Lines>
  <Paragraphs>0</Paragraphs>
  <TotalTime>3</TotalTime>
  <ScaleCrop>false</ScaleCrop>
  <LinksUpToDate>false</LinksUpToDate>
  <CharactersWithSpaces>1635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2022-11-21T05:58:00Z</dcterms:created>
  <dc:creator>Administrator</dc:creator>
  <cp:lastModifiedBy>A.勾勾勾</cp:lastModifiedBy>
  <dcterms:modified xsi:type="dcterms:W3CDTF">2026-07-15T08:12:13Z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CC7B75BA37BC490F8697685FBA7D9B95_13</vt:lpwstr>
  </property>
  <property fmtid="{D5CDD505-2E9C-101B-9397-08002B2CF9AE}" pid="4" name="KSOTemplateDocerSaveRecord">
    <vt:lpwstr>eyJoZGlkIjoiYjA5ZGExMGVkY2ZhNTlhYWQ2NjM3NmY1MWE4ZmZkYjIiLCJ1c2VySWQiOiI0NDk4OTEzNjgifQ==</vt:lpwstr>
  </property>
</Properties>
</file>