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611A1">
      <w:pPr>
        <w:pStyle w:val="15"/>
        <w:keepNext w:val="0"/>
        <w:keepLines w:val="0"/>
        <w:pageBreakBefore w:val="0"/>
        <w:kinsoku/>
        <w:wordWrap/>
        <w:overflowPunct/>
        <w:topLinePunct w:val="0"/>
        <w:autoSpaceDE/>
        <w:autoSpaceDN/>
        <w:bidi w:val="0"/>
        <w:adjustRightInd w:val="0"/>
        <w:snapToGrid w:val="0"/>
        <w:spacing w:line="0" w:lineRule="atLeast"/>
        <w:ind w:left="0" w:firstLine="0" w:firstLineChars="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项目需求</w:t>
      </w:r>
    </w:p>
    <w:p w14:paraId="683E363A">
      <w:pPr>
        <w:pStyle w:val="15"/>
        <w:keepNext w:val="0"/>
        <w:keepLines w:val="0"/>
        <w:pageBreakBefore w:val="0"/>
        <w:widowControl/>
        <w:kinsoku/>
        <w:wordWrap/>
        <w:overflowPunct/>
        <w:topLinePunct w:val="0"/>
        <w:autoSpaceDE/>
        <w:autoSpaceDN/>
        <w:bidi w:val="0"/>
        <w:adjustRightInd/>
        <w:snapToGrid w:val="0"/>
        <w:spacing w:line="0" w:lineRule="atLeast"/>
        <w:ind w:left="0"/>
        <w:textAlignment w:val="auto"/>
        <w:outlineLvl w:val="1"/>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一、项目名称编号</w:t>
      </w:r>
    </w:p>
    <w:p w14:paraId="232C904D">
      <w:pPr>
        <w:pStyle w:val="15"/>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项目编号：myzhcg2026-016</w:t>
      </w:r>
    </w:p>
    <w:p w14:paraId="3EF3EC4A">
      <w:pPr>
        <w:pStyle w:val="15"/>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项目名称：智能陪护椅合作项目</w:t>
      </w:r>
    </w:p>
    <w:p w14:paraId="39F1C943">
      <w:pPr>
        <w:pStyle w:val="15"/>
        <w:keepNext w:val="0"/>
        <w:keepLines w:val="0"/>
        <w:pageBreakBefore w:val="0"/>
        <w:widowControl/>
        <w:kinsoku/>
        <w:wordWrap/>
        <w:overflowPunct/>
        <w:topLinePunct w:val="0"/>
        <w:autoSpaceDE/>
        <w:autoSpaceDN/>
        <w:bidi w:val="0"/>
        <w:adjustRightInd/>
        <w:snapToGrid w:val="0"/>
        <w:spacing w:line="0" w:lineRule="atLeast"/>
        <w:ind w:left="0"/>
        <w:textAlignment w:val="auto"/>
        <w:outlineLvl w:val="1"/>
        <w:rPr>
          <w:rFonts w:hint="eastAsia" w:ascii="仿宋" w:hAnsi="仿宋" w:eastAsia="仿宋" w:cs="仿宋"/>
          <w:b/>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二、</w:t>
      </w:r>
      <w:r>
        <w:rPr>
          <w:rFonts w:hint="eastAsia" w:ascii="仿宋" w:hAnsi="仿宋" w:eastAsia="仿宋" w:cs="仿宋"/>
          <w:b/>
          <w:color w:val="auto"/>
          <w:sz w:val="21"/>
          <w:szCs w:val="21"/>
          <w:highlight w:val="none"/>
          <w:u w:val="none"/>
        </w:rPr>
        <w:t>服务内容</w:t>
      </w:r>
    </w:p>
    <w:p w14:paraId="5019A8AB">
      <w:pPr>
        <w:pStyle w:val="15"/>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仿宋" w:hAnsi="仿宋" w:eastAsia="仿宋" w:cs="仿宋"/>
          <w:color w:val="auto"/>
          <w:sz w:val="21"/>
          <w:szCs w:val="21"/>
          <w:u w:val="none"/>
          <w:lang w:eastAsia="zh-CN"/>
        </w:rPr>
      </w:pPr>
      <w:r>
        <w:rPr>
          <w:rFonts w:hint="eastAsia" w:ascii="仿宋" w:hAnsi="仿宋" w:eastAsia="仿宋" w:cs="仿宋"/>
          <w:color w:val="auto"/>
          <w:sz w:val="21"/>
          <w:szCs w:val="21"/>
          <w:u w:val="none"/>
          <w:lang w:val="en-US" w:eastAsia="zh-CN"/>
        </w:rPr>
        <w:t>包1：成交规则：通过资格性审查与符合性审查的供应商，以报价最高者中选。</w:t>
      </w:r>
    </w:p>
    <w:tbl>
      <w:tblPr>
        <w:tblStyle w:val="11"/>
        <w:tblW w:w="474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2568"/>
        <w:gridCol w:w="2538"/>
        <w:gridCol w:w="1866"/>
      </w:tblGrid>
      <w:tr w14:paraId="22DE5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jc w:val="center"/>
        </w:trPr>
        <w:tc>
          <w:tcPr>
            <w:tcW w:w="685" w:type="pct"/>
            <w:vAlign w:val="center"/>
          </w:tcPr>
          <w:p w14:paraId="22599608">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rPr>
            </w:pPr>
            <w:r>
              <w:rPr>
                <w:rFonts w:hint="eastAsia" w:ascii="仿宋" w:hAnsi="仿宋" w:eastAsia="仿宋" w:cs="仿宋"/>
                <w:color w:val="auto"/>
                <w:sz w:val="21"/>
                <w:szCs w:val="21"/>
                <w:u w:val="none"/>
              </w:rPr>
              <w:t>序号</w:t>
            </w:r>
          </w:p>
        </w:tc>
        <w:tc>
          <w:tcPr>
            <w:tcW w:w="1589" w:type="pct"/>
            <w:vAlign w:val="center"/>
          </w:tcPr>
          <w:p w14:paraId="1F1798C0">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rPr>
            </w:pPr>
            <w:r>
              <w:rPr>
                <w:rFonts w:hint="eastAsia" w:ascii="仿宋" w:hAnsi="仿宋" w:eastAsia="仿宋" w:cs="仿宋"/>
                <w:color w:val="auto"/>
                <w:sz w:val="21"/>
                <w:szCs w:val="21"/>
                <w:u w:val="none"/>
              </w:rPr>
              <w:t>标的名称</w:t>
            </w:r>
          </w:p>
        </w:tc>
        <w:tc>
          <w:tcPr>
            <w:tcW w:w="1570" w:type="pct"/>
            <w:vAlign w:val="center"/>
          </w:tcPr>
          <w:p w14:paraId="690B1A65">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单价（元）</w:t>
            </w:r>
          </w:p>
        </w:tc>
        <w:tc>
          <w:tcPr>
            <w:tcW w:w="1154" w:type="pct"/>
            <w:vAlign w:val="center"/>
          </w:tcPr>
          <w:p w14:paraId="52C6EBEE">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rPr>
            </w:pPr>
            <w:r>
              <w:rPr>
                <w:rFonts w:hint="eastAsia" w:ascii="仿宋" w:hAnsi="仿宋" w:eastAsia="仿宋" w:cs="仿宋"/>
                <w:color w:val="auto"/>
                <w:sz w:val="21"/>
                <w:szCs w:val="21"/>
                <w:u w:val="none"/>
              </w:rPr>
              <w:t>计量单位</w:t>
            </w:r>
          </w:p>
        </w:tc>
      </w:tr>
      <w:tr w14:paraId="35FFD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8" w:hRule="atLeast"/>
          <w:jc w:val="center"/>
        </w:trPr>
        <w:tc>
          <w:tcPr>
            <w:tcW w:w="685" w:type="pct"/>
            <w:vAlign w:val="center"/>
          </w:tcPr>
          <w:p w14:paraId="6E7B8FB9">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rPr>
            </w:pPr>
            <w:r>
              <w:rPr>
                <w:rFonts w:hint="eastAsia" w:ascii="仿宋" w:hAnsi="仿宋" w:eastAsia="仿宋" w:cs="仿宋"/>
                <w:color w:val="auto"/>
                <w:sz w:val="21"/>
                <w:szCs w:val="21"/>
                <w:u w:val="none"/>
              </w:rPr>
              <w:t>1</w:t>
            </w:r>
          </w:p>
        </w:tc>
        <w:tc>
          <w:tcPr>
            <w:tcW w:w="1589" w:type="pct"/>
            <w:vAlign w:val="center"/>
          </w:tcPr>
          <w:p w14:paraId="5A22CBC9">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智能陪护椅合作项目</w:t>
            </w:r>
          </w:p>
        </w:tc>
        <w:tc>
          <w:tcPr>
            <w:tcW w:w="1570" w:type="pct"/>
            <w:vAlign w:val="center"/>
          </w:tcPr>
          <w:p w14:paraId="05646F4C">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不低于</w:t>
            </w:r>
            <w:bookmarkStart w:id="2" w:name="_GoBack"/>
            <w:bookmarkEnd w:id="2"/>
            <w:r>
              <w:rPr>
                <w:rFonts w:hint="eastAsia" w:ascii="仿宋" w:hAnsi="仿宋" w:eastAsia="仿宋" w:cs="仿宋"/>
                <w:color w:val="auto"/>
                <w:sz w:val="21"/>
                <w:szCs w:val="21"/>
                <w:u w:val="none"/>
                <w:lang w:val="en-US" w:eastAsia="zh-CN"/>
              </w:rPr>
              <w:t>23.04万元</w:t>
            </w:r>
          </w:p>
        </w:tc>
        <w:tc>
          <w:tcPr>
            <w:tcW w:w="1154" w:type="pct"/>
            <w:vAlign w:val="center"/>
          </w:tcPr>
          <w:p w14:paraId="28F35E1F">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年</w:t>
            </w:r>
          </w:p>
        </w:tc>
      </w:tr>
    </w:tbl>
    <w:p w14:paraId="39F5CDDB">
      <w:pPr>
        <w:pStyle w:val="6"/>
        <w:keepNext w:val="0"/>
        <w:keepLines w:val="0"/>
        <w:pageBreakBefore w:val="0"/>
        <w:kinsoku/>
        <w:wordWrap/>
        <w:overflowPunct/>
        <w:topLinePunct w:val="0"/>
        <w:autoSpaceDE/>
        <w:autoSpaceDN/>
        <w:bidi w:val="0"/>
        <w:adjustRightInd/>
        <w:snapToGrid/>
        <w:spacing w:after="0" w:afterLines="0" w:line="0" w:lineRule="atLeast"/>
        <w:ind w:left="0" w:leftChars="0" w:firstLine="0" w:firstLineChars="0"/>
        <w:textAlignment w:val="auto"/>
        <w:outlineLvl w:val="1"/>
        <w:rPr>
          <w:rFonts w:hint="eastAsia" w:ascii="仿宋" w:hAnsi="仿宋" w:eastAsia="仿宋" w:cs="仿宋"/>
          <w:b/>
          <w:bCs/>
          <w:color w:val="auto"/>
          <w:sz w:val="21"/>
          <w:szCs w:val="21"/>
          <w:highlight w:val="none"/>
          <w:u w:val="none"/>
          <w:lang w:val="en-US" w:eastAsia="zh-CN"/>
        </w:rPr>
      </w:pPr>
      <w:bookmarkStart w:id="0" w:name="_Toc28979"/>
      <w:r>
        <w:rPr>
          <w:rFonts w:hint="eastAsia" w:ascii="仿宋" w:hAnsi="仿宋" w:eastAsia="仿宋" w:cs="仿宋"/>
          <w:b/>
          <w:bCs/>
          <w:color w:val="auto"/>
          <w:sz w:val="21"/>
          <w:szCs w:val="21"/>
          <w:highlight w:val="none"/>
          <w:u w:val="none"/>
          <w:lang w:val="en-US" w:eastAsia="zh-CN"/>
        </w:rPr>
        <w:t>三、技术参数（服务要求）</w:t>
      </w:r>
      <w:bookmarkEnd w:id="0"/>
    </w:p>
    <w:p w14:paraId="7B55D516">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lang w:val="en-US" w:eastAsia="zh-CN"/>
        </w:rPr>
        <w:t>陪护椅参数</w:t>
      </w:r>
    </w:p>
    <w:p w14:paraId="7B743BC4">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1、规格：</w:t>
      </w:r>
    </w:p>
    <w:p w14:paraId="14890FEB">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折叠状态尺寸：长700mm±200mm  宽600mm±100mm      高≤1200mm； </w:t>
      </w:r>
    </w:p>
    <w:p w14:paraId="0187CCFD">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展开状态尺寸：长1800mm±200mm    宽600mm±100mm   高≤600mm。</w:t>
      </w:r>
    </w:p>
    <w:p w14:paraId="3D2C6497">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2、可收折，可作椅和床两用，4~6个脚轮，收放自如；</w:t>
      </w:r>
    </w:p>
    <w:p w14:paraId="57678615">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3、脚轮≥Ф50mm人造胶静音轮，推动灵活，无噪声；</w:t>
      </w:r>
    </w:p>
    <w:p w14:paraId="793BD59A">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4、整体支撑部分采用力学原理的钢体结构，展开时人坐在任何部位不会出现翻倒现象；</w:t>
      </w:r>
    </w:p>
    <w:p w14:paraId="4BDD3FC2">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5、金属表面采用静电喷塑，无毒环保，涂层表面平滑光洁，内外抗锈；面部材料为人造皮革制品，颜色统一，内衬高弹海棉；</w:t>
      </w:r>
    </w:p>
    <w:p w14:paraId="5A36BE11">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6、额定载荷≥135kg；</w:t>
      </w:r>
    </w:p>
    <w:p w14:paraId="2B745C21">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u w:val="none"/>
          <w:lang w:val="en-US" w:eastAsia="zh-CN"/>
        </w:rPr>
        <w:t>软件参数（需提供软件使用说明书或功能截图等相关证明材料予以说明）：</w:t>
      </w:r>
    </w:p>
    <w:p w14:paraId="16F2BED0">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1、支持扫描设备二维码完成开锁和租赁流程，支持微信、支付宝等多平台接入。</w:t>
      </w:r>
    </w:p>
    <w:p w14:paraId="1515477D">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2、支持开床时间设定，采购人可根据管理需求随时调整运营时间段（如限定每天17:00至次日7:00为开放时段），非使用时间段不可扫码开锁。</w:t>
      </w:r>
    </w:p>
    <w:p w14:paraId="467C3409">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3、支持订单管理，显示订单编号、使用时间、结束时间、设备编号、设备位置等信息。</w:t>
      </w:r>
    </w:p>
    <w:p w14:paraId="27ABF7C6">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注：</w:t>
      </w:r>
    </w:p>
    <w:p w14:paraId="5E5C7D1D">
      <w:pPr>
        <w:pStyle w:val="6"/>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u w:val="none"/>
        </w:rPr>
      </w:pP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参数需求为实质性要求，供应商必须响应并满足的参数需求。投标人需提供</w:t>
      </w:r>
      <w:r>
        <w:rPr>
          <w:rFonts w:hint="eastAsia" w:ascii="仿宋" w:hAnsi="仿宋" w:eastAsia="仿宋" w:cs="仿宋"/>
          <w:color w:val="auto"/>
          <w:sz w:val="21"/>
          <w:szCs w:val="21"/>
          <w:highlight w:val="none"/>
          <w:lang w:val="en-US" w:eastAsia="zh-CN"/>
        </w:rPr>
        <w:t>产品彩页、产品说明书、</w:t>
      </w:r>
      <w:r>
        <w:rPr>
          <w:rFonts w:hint="eastAsia" w:ascii="仿宋" w:hAnsi="仿宋" w:eastAsia="仿宋" w:cs="仿宋"/>
          <w:color w:val="auto"/>
          <w:sz w:val="21"/>
          <w:szCs w:val="21"/>
          <w:highlight w:val="none"/>
        </w:rPr>
        <w:t>功能截图、产品检测报告或向社会公开的产品彩页</w:t>
      </w:r>
      <w:r>
        <w:rPr>
          <w:rFonts w:hint="eastAsia" w:ascii="仿宋" w:hAnsi="仿宋" w:eastAsia="仿宋" w:cs="仿宋"/>
          <w:color w:val="auto"/>
          <w:sz w:val="21"/>
          <w:szCs w:val="21"/>
          <w:highlight w:val="none"/>
          <w:lang w:val="en-US" w:eastAsia="zh-CN"/>
        </w:rPr>
        <w:t>等资料</w:t>
      </w:r>
      <w:r>
        <w:rPr>
          <w:rFonts w:hint="eastAsia" w:ascii="仿宋" w:hAnsi="仿宋" w:eastAsia="仿宋" w:cs="仿宋"/>
          <w:color w:val="auto"/>
          <w:sz w:val="21"/>
          <w:szCs w:val="21"/>
          <w:highlight w:val="none"/>
        </w:rPr>
        <w:t>，但如果</w:t>
      </w:r>
      <w:r>
        <w:rPr>
          <w:rFonts w:hint="eastAsia" w:ascii="仿宋" w:hAnsi="仿宋" w:eastAsia="仿宋" w:cs="仿宋"/>
          <w:color w:val="auto"/>
          <w:sz w:val="21"/>
          <w:szCs w:val="21"/>
          <w:highlight w:val="none"/>
          <w:lang w:val="en-US" w:eastAsia="zh-CN"/>
        </w:rPr>
        <w:t>招标技术参数要求</w:t>
      </w:r>
      <w:r>
        <w:rPr>
          <w:rFonts w:hint="eastAsia" w:ascii="仿宋" w:hAnsi="仿宋" w:eastAsia="仿宋" w:cs="仿宋"/>
          <w:color w:val="auto"/>
          <w:sz w:val="21"/>
          <w:szCs w:val="21"/>
          <w:highlight w:val="none"/>
        </w:rPr>
        <w:t>的技术条款对技术支撑材料有要求，应按要求提供，否则对应技术参数条款将视为不满足。</w:t>
      </w:r>
    </w:p>
    <w:p w14:paraId="21458DE9">
      <w:pPr>
        <w:pStyle w:val="15"/>
        <w:keepNext w:val="0"/>
        <w:keepLines w:val="0"/>
        <w:pageBreakBefore w:val="0"/>
        <w:widowControl/>
        <w:kinsoku/>
        <w:wordWrap/>
        <w:overflowPunct/>
        <w:topLinePunct w:val="0"/>
        <w:autoSpaceDE/>
        <w:autoSpaceDN/>
        <w:bidi w:val="0"/>
        <w:adjustRightInd/>
        <w:snapToGrid w:val="0"/>
        <w:spacing w:line="0" w:lineRule="atLeast"/>
        <w:ind w:left="0"/>
        <w:textAlignment w:val="auto"/>
        <w:outlineLvl w:val="1"/>
        <w:rPr>
          <w:rFonts w:hint="eastAsia" w:ascii="仿宋" w:hAnsi="仿宋" w:eastAsia="仿宋" w:cs="仿宋"/>
          <w:color w:val="auto"/>
          <w:sz w:val="21"/>
          <w:szCs w:val="21"/>
          <w:highlight w:val="none"/>
          <w:u w:val="none"/>
        </w:rPr>
      </w:pPr>
      <w:bookmarkStart w:id="1" w:name="_Toc29034"/>
      <w:r>
        <w:rPr>
          <w:rFonts w:hint="eastAsia" w:ascii="仿宋" w:hAnsi="仿宋" w:eastAsia="仿宋" w:cs="仿宋"/>
          <w:b/>
          <w:color w:val="auto"/>
          <w:sz w:val="21"/>
          <w:szCs w:val="21"/>
          <w:highlight w:val="none"/>
          <w:u w:val="none"/>
          <w:lang w:val="en-US" w:eastAsia="zh-CN"/>
        </w:rPr>
        <w:t>四、</w:t>
      </w:r>
      <w:r>
        <w:rPr>
          <w:rFonts w:hint="eastAsia" w:ascii="仿宋" w:hAnsi="仿宋" w:eastAsia="仿宋" w:cs="仿宋"/>
          <w:b/>
          <w:color w:val="auto"/>
          <w:sz w:val="21"/>
          <w:szCs w:val="21"/>
          <w:highlight w:val="none"/>
          <w:u w:val="none"/>
        </w:rPr>
        <w:t>商务要求</w:t>
      </w:r>
      <w:bookmarkEnd w:id="1"/>
    </w:p>
    <w:p w14:paraId="7F4ECC0E">
      <w:pPr>
        <w:pStyle w:val="15"/>
        <w:keepNext w:val="0"/>
        <w:keepLines w:val="0"/>
        <w:pageBreakBefore w:val="0"/>
        <w:widowControl/>
        <w:kinsoku/>
        <w:wordWrap/>
        <w:overflowPunct/>
        <w:topLinePunct w:val="0"/>
        <w:autoSpaceDE/>
        <w:autoSpaceDN/>
        <w:bidi w:val="0"/>
        <w:adjustRightInd/>
        <w:snapToGrid w:val="0"/>
        <w:spacing w:line="0" w:lineRule="atLeast"/>
        <w:ind w:left="0" w:firstLine="0" w:firstLineChars="0"/>
        <w:textAlignment w:val="auto"/>
        <w:outlineLvl w:val="2"/>
        <w:rPr>
          <w:rFonts w:hint="eastAsia" w:ascii="仿宋" w:hAnsi="仿宋" w:eastAsia="仿宋" w:cs="仿宋"/>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1、</w:t>
      </w:r>
      <w:r>
        <w:rPr>
          <w:rFonts w:hint="eastAsia" w:ascii="仿宋" w:hAnsi="仿宋" w:eastAsia="仿宋" w:cs="仿宋"/>
          <w:b/>
          <w:color w:val="auto"/>
          <w:sz w:val="21"/>
          <w:szCs w:val="21"/>
          <w:highlight w:val="none"/>
          <w:u w:val="none"/>
        </w:rPr>
        <w:t>服务期限</w:t>
      </w:r>
      <w:r>
        <w:rPr>
          <w:rFonts w:hint="eastAsia" w:ascii="仿宋" w:hAnsi="仿宋" w:eastAsia="仿宋" w:cs="仿宋"/>
          <w:b/>
          <w:color w:val="auto"/>
          <w:sz w:val="21"/>
          <w:szCs w:val="21"/>
          <w:highlight w:val="none"/>
          <w:u w:val="none"/>
          <w:lang w:val="en-US" w:eastAsia="zh-CN"/>
        </w:rPr>
        <w:t>:</w:t>
      </w:r>
      <w:r>
        <w:rPr>
          <w:rFonts w:hint="eastAsia" w:ascii="仿宋" w:hAnsi="仿宋" w:eastAsia="仿宋" w:cs="仿宋"/>
          <w:color w:val="auto"/>
          <w:sz w:val="21"/>
          <w:szCs w:val="21"/>
          <w:highlight w:val="none"/>
          <w:u w:val="none"/>
        </w:rPr>
        <w:t>自合同签订之日</w:t>
      </w:r>
      <w:r>
        <w:rPr>
          <w:rFonts w:hint="eastAsia" w:ascii="仿宋" w:hAnsi="仿宋" w:eastAsia="仿宋" w:cs="仿宋"/>
          <w:color w:val="auto"/>
          <w:sz w:val="21"/>
          <w:szCs w:val="21"/>
          <w:highlight w:val="none"/>
          <w:u w:val="none"/>
          <w:lang w:val="en-US" w:eastAsia="zh-CN"/>
        </w:rPr>
        <w:t>3年</w:t>
      </w:r>
    </w:p>
    <w:p w14:paraId="700413D2">
      <w:pPr>
        <w:pStyle w:val="15"/>
        <w:keepNext w:val="0"/>
        <w:keepLines w:val="0"/>
        <w:pageBreakBefore w:val="0"/>
        <w:widowControl/>
        <w:kinsoku/>
        <w:wordWrap/>
        <w:overflowPunct/>
        <w:topLinePunct w:val="0"/>
        <w:autoSpaceDE/>
        <w:autoSpaceDN/>
        <w:bidi w:val="0"/>
        <w:adjustRightInd/>
        <w:snapToGrid w:val="0"/>
        <w:spacing w:line="0" w:lineRule="atLeast"/>
        <w:ind w:left="0" w:firstLine="0" w:firstLineChars="0"/>
        <w:textAlignment w:val="auto"/>
        <w:outlineLvl w:val="2"/>
        <w:rPr>
          <w:rFonts w:hint="eastAsia" w:ascii="仿宋" w:hAnsi="仿宋" w:eastAsia="仿宋" w:cs="仿宋"/>
          <w:color w:val="auto"/>
          <w:sz w:val="21"/>
          <w:szCs w:val="21"/>
          <w:highlight w:val="none"/>
          <w:u w:val="none"/>
        </w:rPr>
      </w:pPr>
      <w:r>
        <w:rPr>
          <w:rFonts w:hint="eastAsia" w:ascii="仿宋" w:hAnsi="仿宋" w:eastAsia="仿宋" w:cs="仿宋"/>
          <w:b/>
          <w:color w:val="auto"/>
          <w:sz w:val="21"/>
          <w:szCs w:val="21"/>
          <w:highlight w:val="none"/>
          <w:u w:val="none"/>
          <w:lang w:val="en-US" w:eastAsia="zh-CN"/>
        </w:rPr>
        <w:t>2、交货（</w:t>
      </w:r>
      <w:r>
        <w:rPr>
          <w:rFonts w:hint="eastAsia" w:ascii="仿宋" w:hAnsi="仿宋" w:eastAsia="仿宋" w:cs="仿宋"/>
          <w:b/>
          <w:color w:val="auto"/>
          <w:sz w:val="21"/>
          <w:szCs w:val="21"/>
          <w:highlight w:val="none"/>
          <w:u w:val="none"/>
        </w:rPr>
        <w:t>服务</w:t>
      </w:r>
      <w:r>
        <w:rPr>
          <w:rFonts w:hint="eastAsia" w:ascii="仿宋" w:hAnsi="仿宋" w:eastAsia="仿宋" w:cs="仿宋"/>
          <w:b/>
          <w:color w:val="auto"/>
          <w:sz w:val="21"/>
          <w:szCs w:val="21"/>
          <w:highlight w:val="none"/>
          <w:u w:val="none"/>
          <w:lang w:eastAsia="zh-CN"/>
        </w:rPr>
        <w:t>）</w:t>
      </w:r>
      <w:r>
        <w:rPr>
          <w:rFonts w:hint="eastAsia" w:ascii="仿宋" w:hAnsi="仿宋" w:eastAsia="仿宋" w:cs="仿宋"/>
          <w:b/>
          <w:color w:val="auto"/>
          <w:sz w:val="21"/>
          <w:szCs w:val="21"/>
          <w:highlight w:val="none"/>
          <w:u w:val="none"/>
        </w:rPr>
        <w:t>地点</w:t>
      </w:r>
      <w:r>
        <w:rPr>
          <w:rFonts w:hint="eastAsia" w:ascii="仿宋" w:hAnsi="仿宋" w:eastAsia="仿宋" w:cs="仿宋"/>
          <w:b/>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none"/>
        </w:rPr>
        <w:t>眉山市人民医院</w:t>
      </w:r>
    </w:p>
    <w:p w14:paraId="4F97961A">
      <w:pPr>
        <w:pStyle w:val="15"/>
        <w:keepNext w:val="0"/>
        <w:keepLines w:val="0"/>
        <w:pageBreakBefore w:val="0"/>
        <w:widowControl/>
        <w:kinsoku/>
        <w:wordWrap/>
        <w:overflowPunct/>
        <w:topLinePunct w:val="0"/>
        <w:autoSpaceDE/>
        <w:autoSpaceDN/>
        <w:bidi w:val="0"/>
        <w:adjustRightInd/>
        <w:snapToGrid w:val="0"/>
        <w:spacing w:line="0" w:lineRule="atLeast"/>
        <w:ind w:left="0" w:firstLine="0" w:firstLineChars="0"/>
        <w:textAlignment w:val="auto"/>
        <w:outlineLvl w:val="2"/>
        <w:rPr>
          <w:rFonts w:hint="eastAsia" w:ascii="仿宋" w:hAnsi="仿宋" w:eastAsia="仿宋" w:cs="仿宋"/>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3、</w:t>
      </w:r>
      <w:r>
        <w:rPr>
          <w:rFonts w:hint="eastAsia" w:ascii="仿宋" w:hAnsi="仿宋" w:eastAsia="仿宋" w:cs="仿宋"/>
          <w:b/>
          <w:color w:val="auto"/>
          <w:sz w:val="21"/>
          <w:szCs w:val="21"/>
          <w:highlight w:val="none"/>
          <w:u w:val="none"/>
        </w:rPr>
        <w:t>支付方式</w:t>
      </w:r>
      <w:r>
        <w:rPr>
          <w:rFonts w:hint="eastAsia" w:ascii="仿宋" w:hAnsi="仿宋" w:eastAsia="仿宋" w:cs="仿宋"/>
          <w:b/>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none"/>
          <w:lang w:val="en-US" w:eastAsia="zh-CN"/>
        </w:rPr>
        <w:t>银行转账</w:t>
      </w:r>
    </w:p>
    <w:p w14:paraId="2AB6E87B">
      <w:pPr>
        <w:pStyle w:val="15"/>
        <w:keepNext w:val="0"/>
        <w:keepLines w:val="0"/>
        <w:pageBreakBefore w:val="0"/>
        <w:widowControl/>
        <w:kinsoku/>
        <w:wordWrap/>
        <w:overflowPunct/>
        <w:topLinePunct w:val="0"/>
        <w:autoSpaceDE/>
        <w:autoSpaceDN/>
        <w:bidi w:val="0"/>
        <w:adjustRightInd/>
        <w:snapToGrid w:val="0"/>
        <w:spacing w:line="0" w:lineRule="atLeast"/>
        <w:ind w:left="0" w:firstLine="0" w:firstLineChars="0"/>
        <w:textAlignment w:val="auto"/>
        <w:outlineLvl w:val="2"/>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4、</w:t>
      </w:r>
      <w:r>
        <w:rPr>
          <w:rFonts w:hint="eastAsia" w:ascii="仿宋" w:hAnsi="仿宋" w:eastAsia="仿宋" w:cs="仿宋"/>
          <w:b/>
          <w:color w:val="auto"/>
          <w:sz w:val="21"/>
          <w:szCs w:val="21"/>
          <w:highlight w:val="none"/>
          <w:u w:val="none"/>
        </w:rPr>
        <w:t>支付约定</w:t>
      </w:r>
      <w:r>
        <w:rPr>
          <w:rFonts w:hint="eastAsia" w:ascii="仿宋" w:hAnsi="仿宋" w:eastAsia="仿宋" w:cs="仿宋"/>
          <w:b/>
          <w:color w:val="auto"/>
          <w:sz w:val="21"/>
          <w:szCs w:val="21"/>
          <w:highlight w:val="none"/>
          <w:u w:val="none"/>
          <w:lang w:eastAsia="zh-CN"/>
        </w:rPr>
        <w:t>：</w:t>
      </w:r>
      <w:r>
        <w:rPr>
          <w:rFonts w:hint="eastAsia" w:ascii="仿宋" w:hAnsi="仿宋" w:eastAsia="仿宋" w:cs="仿宋"/>
          <w:b w:val="0"/>
          <w:bCs w:val="0"/>
          <w:color w:val="auto"/>
          <w:sz w:val="21"/>
          <w:szCs w:val="21"/>
          <w:highlight w:val="none"/>
          <w:u w:val="none"/>
          <w:lang w:val="en-US" w:eastAsia="zh-CN"/>
        </w:rPr>
        <w:t>自合同签订之日起，合同签订后，中标供应商应于30日内支付半年管理费用，后续管理费用每半年支付一次。</w:t>
      </w:r>
    </w:p>
    <w:p w14:paraId="5FC78581">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2"/>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5、商务要求</w:t>
      </w:r>
    </w:p>
    <w:p w14:paraId="2C16F6E7">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1、合作模式</w:t>
      </w:r>
    </w:p>
    <w:p w14:paraId="2B5FEE35">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本项目为排他性独家合作。合作期限内，采购人承诺不自营或不与其他公司或个人合作引入其它陪护椅项目，成交供应商为此项目的唯一运营合作伙伴。</w:t>
      </w:r>
    </w:p>
    <w:p w14:paraId="41B5EE25">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2、设备投放与布置</w:t>
      </w:r>
    </w:p>
    <w:p w14:paraId="3435223E">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1）成交供应商在签订合同并收到甲方科室需求后15日内配备齐全所有陪护椅。</w:t>
      </w:r>
    </w:p>
    <w:p w14:paraId="4B600767">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2）陪护椅必须放置于医院指定区域，其摆放位置、配置数量、使用时间拟定为17:00至次晨7:00，最终可根据医院要求进行调整，上述内容均由医院相关部门核定确认。我院当前核定开放床位共1590张，需配置陪护椅约1590张。</w:t>
      </w:r>
    </w:p>
    <w:p w14:paraId="4B2DA725">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3）成交商在供货时须提供陪护椅的质量证明文件，质保书、合格证及检验报告等资料，成交供应商应保证提供陪护椅符合国家现行行业质量标准。</w:t>
      </w:r>
    </w:p>
    <w:p w14:paraId="429E0AB1">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color w:val="auto"/>
          <w:sz w:val="21"/>
          <w:szCs w:val="21"/>
          <w:u w:val="none"/>
          <w:lang w:eastAsia="zh-CN"/>
        </w:rPr>
      </w:pPr>
      <w:r>
        <w:rPr>
          <w:rFonts w:hint="eastAsia" w:ascii="仿宋" w:hAnsi="仿宋" w:eastAsia="仿宋" w:cs="仿宋"/>
          <w:b w:val="0"/>
          <w:bCs/>
          <w:color w:val="auto"/>
          <w:sz w:val="21"/>
          <w:szCs w:val="21"/>
          <w:highlight w:val="none"/>
          <w:u w:val="none"/>
          <w:lang w:val="en-US" w:eastAsia="zh-CN"/>
        </w:rPr>
        <w:t>4）成交供应商须保证其在医院投放运营的共享陪护椅满足整洁、舒适、安全的使用要求，且符合医院的相关管理规定。</w:t>
      </w:r>
    </w:p>
    <w:p w14:paraId="55D125DD">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3、使用方式与收费</w:t>
      </w:r>
    </w:p>
    <w:p w14:paraId="20EDC443">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成交供应商向采购人免费提供"陪护椅"供患者家属有偿使用，所在医院的患者家属以二维码扫描验证或网络支付等智能化租赁模式有偿使用，具体使用条件、方式、使用标准均在产品的使用说明及条件中予以清晰备注。</w:t>
      </w:r>
    </w:p>
    <w:p w14:paraId="78AA7E04">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2）每张陪护椅床位费收费销售价格标准为5.6元/晚，免押金。如遇不可抗力采购人需调整收费价格标准，成交供应商需配合。严禁成交供应商私自上调收费价格标准。</w:t>
      </w:r>
    </w:p>
    <w:p w14:paraId="0DE4391C">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4、管理费</w:t>
      </w:r>
    </w:p>
    <w:p w14:paraId="0D73C84E">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本项目采用固定金额方式一次性收取管理费，年度管理费金额不低于人民币28.8万元/年，每半年完成结算并提交财务核算。若因医院床位数调整导致投放陪护椅数量发生变动，当变动幅度不超过±10%时，管理费不予调整；若变动幅度超过±10%，需由合作双方协商，按照比例原则对管理费进行相应调整。</w:t>
      </w:r>
    </w:p>
    <w:p w14:paraId="5067D44B">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5、权属与风险责任</w:t>
      </w:r>
    </w:p>
    <w:p w14:paraId="4CF09646">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陪护椅及配套附属软件的所有权归属成交供应商，服务期限届满后，相关设备仍归成交供应商所有。成交供应商应确保设备在服务期内能够正常投入使用，保证陪护椅符合国家现行产品质量标准，配套软件符合《中华人民共和国网络安全法》《中华人民共和国个人信息保护法》《医疗数据安全管理办法》的相关要求。</w:t>
      </w:r>
    </w:p>
    <w:p w14:paraId="02A05DF8">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2）如因成交供应商产品质量给使用人或采购人造成损失，其损失由成交供应商负责赔偿。</w:t>
      </w:r>
    </w:p>
    <w:p w14:paraId="117D8FD7">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3）采购人对成交供应商所投放的所有设备设施的使用风险不承担任何法律责任，由成交供应商承担。</w:t>
      </w:r>
    </w:p>
    <w:p w14:paraId="27E7CD56">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6、安装维保与服务</w:t>
      </w:r>
    </w:p>
    <w:p w14:paraId="5BD9D4C2">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1）成交供应商负责设备的安装调试、日常维修保养、每周定期清洁消毒和保管等工作，保证设备在正常使用时处于适用和安全状态。陪护椅的日常维修、维护、保养、看管、遗失等均由成交供应商承担。</w:t>
      </w:r>
    </w:p>
    <w:p w14:paraId="68A2FCE9">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2）成交供应商公开24小时监督服务电话，成交供应商承诺提供不少于3人在医院负责共享陪护椅管理服务，全天24小时及时接听医院或患者电话，5分钟内响应，30分钟到现场处理。</w:t>
      </w:r>
    </w:p>
    <w:p w14:paraId="1C423BDE">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7、投诉处理</w:t>
      </w:r>
    </w:p>
    <w:p w14:paraId="5749D6FB">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成交供应商负责全部由陪护椅引起的相关服务性投诉问题，并负责由此带来的赔偿问题，由成交供应商负责相应收费使用等解释及投诉处理。</w:t>
      </w:r>
    </w:p>
    <w:p w14:paraId="75EDB1DD">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8、供应商行为规范</w:t>
      </w:r>
    </w:p>
    <w:p w14:paraId="0416B6D2">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成交供应商不得转租、转让或分包，供应商须签订安全责任书，对于各类可能出现的安全隐患事故，有相应的应急处理措施。</w:t>
      </w:r>
    </w:p>
    <w:p w14:paraId="50D4F9A6">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9、采购人监督权</w:t>
      </w:r>
    </w:p>
    <w:p w14:paraId="1C389DE3">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采购人负责监督智能陪护椅的使用、收费管理情况，根据患者/家属及医护人员的评价，对智能陪护椅服务项目存在问题提出指导意见，并有权要求成交供应商限期整改。</w:t>
      </w:r>
    </w:p>
    <w:p w14:paraId="09801241">
      <w:pPr>
        <w:pStyle w:val="15"/>
        <w:keepNext w:val="0"/>
        <w:keepLines w:val="0"/>
        <w:pageBreakBefore w:val="0"/>
        <w:widowControl/>
        <w:kinsoku/>
        <w:wordWrap/>
        <w:overflowPunct/>
        <w:topLinePunct w:val="0"/>
        <w:autoSpaceDE/>
        <w:autoSpaceDN/>
        <w:bidi w:val="0"/>
        <w:adjustRightInd/>
        <w:snapToGrid w:val="0"/>
        <w:spacing w:line="0" w:lineRule="atLeast"/>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10、不可抗拒因素</w:t>
      </w:r>
    </w:p>
    <w:p w14:paraId="04D99CB3">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color w:val="auto"/>
          <w:sz w:val="21"/>
          <w:szCs w:val="21"/>
          <w:highlight w:val="none"/>
          <w:u w:val="none"/>
        </w:rPr>
      </w:pPr>
      <w:r>
        <w:rPr>
          <w:rFonts w:hint="eastAsia" w:ascii="仿宋" w:hAnsi="仿宋" w:eastAsia="仿宋" w:cs="仿宋"/>
          <w:b w:val="0"/>
          <w:bCs/>
          <w:color w:val="auto"/>
          <w:sz w:val="21"/>
          <w:szCs w:val="21"/>
          <w:highlight w:val="none"/>
          <w:u w:val="none"/>
          <w:lang w:val="en-US" w:eastAsia="zh-CN"/>
        </w:rPr>
        <w:t>在服务期间，由于国家相关政策规定或其它不可抗拒因素致协议无法继续履行，则本项目自动终止，成交供应商应与采购人协商在不影响医疗秩序下收回共享陪护椅。</w:t>
      </w:r>
    </w:p>
    <w:p w14:paraId="2205D54A">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0" w:lineRule="atLeast"/>
        <w:ind w:left="0" w:leftChars="0" w:right="0" w:firstLine="0" w:firstLineChars="0"/>
        <w:jc w:val="left"/>
        <w:textAlignment w:val="auto"/>
        <w:outlineLvl w:val="9"/>
        <w:rPr>
          <w:rFonts w:hint="eastAsia" w:ascii="仿宋" w:hAnsi="仿宋" w:eastAsia="仿宋" w:cs="仿宋"/>
          <w:b/>
          <w:bCs/>
          <w:spacing w:val="10"/>
          <w:kern w:val="2"/>
          <w:sz w:val="21"/>
          <w:szCs w:val="21"/>
          <w:lang w:val="en-US" w:eastAsia="zh-CN" w:bidi="ar-SA"/>
        </w:rPr>
      </w:pPr>
    </w:p>
    <w:p w14:paraId="6DEF5247">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0" w:lineRule="atLeast"/>
        <w:ind w:left="0" w:leftChars="0" w:right="0" w:firstLine="0" w:firstLineChars="0"/>
        <w:jc w:val="left"/>
        <w:textAlignment w:val="auto"/>
        <w:outlineLvl w:val="9"/>
        <w:rPr>
          <w:rFonts w:hint="eastAsia" w:ascii="仿宋" w:hAnsi="仿宋" w:eastAsia="仿宋" w:cs="仿宋"/>
          <w:b/>
          <w:bCs/>
          <w:spacing w:val="10"/>
          <w:kern w:val="2"/>
          <w:sz w:val="21"/>
          <w:szCs w:val="21"/>
          <w:lang w:val="en-US" w:eastAsia="zh-CN" w:bidi="ar-SA"/>
        </w:rPr>
      </w:pPr>
    </w:p>
    <w:p w14:paraId="58311CE9">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0" w:lineRule="atLeast"/>
        <w:ind w:left="0" w:leftChars="0" w:right="0" w:firstLine="0" w:firstLineChars="0"/>
        <w:jc w:val="left"/>
        <w:textAlignment w:val="auto"/>
        <w:outlineLvl w:val="9"/>
        <w:rPr>
          <w:rFonts w:hint="default" w:ascii="仿宋" w:hAnsi="仿宋" w:eastAsia="仿宋" w:cs="仿宋"/>
          <w:b/>
          <w:bCs/>
          <w:spacing w:val="10"/>
          <w:kern w:val="2"/>
          <w:sz w:val="21"/>
          <w:szCs w:val="21"/>
          <w:lang w:val="en-US" w:eastAsia="zh-CN" w:bidi="ar-SA"/>
        </w:rPr>
      </w:pPr>
      <w:r>
        <w:rPr>
          <w:rFonts w:hint="eastAsia" w:ascii="仿宋" w:hAnsi="仿宋" w:eastAsia="仿宋" w:cs="仿宋"/>
          <w:b/>
          <w:bCs/>
          <w:spacing w:val="10"/>
          <w:kern w:val="2"/>
          <w:sz w:val="21"/>
          <w:szCs w:val="21"/>
          <w:lang w:val="en-US" w:eastAsia="zh-CN" w:bidi="ar-SA"/>
        </w:rPr>
        <w:t>注：项目需求以比选文件为准。</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ZGExMGVkY2ZhNTlhYWQ2NjM3NmY1MWE4ZmZkYjIifQ=="/>
  </w:docVars>
  <w:rsids>
    <w:rsidRoot w:val="00000000"/>
    <w:rsid w:val="004C7331"/>
    <w:rsid w:val="044D426F"/>
    <w:rsid w:val="046D53F8"/>
    <w:rsid w:val="06AC5CD3"/>
    <w:rsid w:val="06EE5811"/>
    <w:rsid w:val="0A033F19"/>
    <w:rsid w:val="0B7F5343"/>
    <w:rsid w:val="0C3B5451"/>
    <w:rsid w:val="0C505188"/>
    <w:rsid w:val="0C6211BE"/>
    <w:rsid w:val="0CA27F6D"/>
    <w:rsid w:val="109F3233"/>
    <w:rsid w:val="140B02F2"/>
    <w:rsid w:val="15365071"/>
    <w:rsid w:val="16FD16D7"/>
    <w:rsid w:val="17524E8E"/>
    <w:rsid w:val="1AEE2BA6"/>
    <w:rsid w:val="1EC97204"/>
    <w:rsid w:val="2067251D"/>
    <w:rsid w:val="227417D4"/>
    <w:rsid w:val="23C5488E"/>
    <w:rsid w:val="26B508AF"/>
    <w:rsid w:val="28D55767"/>
    <w:rsid w:val="2D2A38E5"/>
    <w:rsid w:val="2DE64536"/>
    <w:rsid w:val="2E8B726C"/>
    <w:rsid w:val="34304269"/>
    <w:rsid w:val="348D23B4"/>
    <w:rsid w:val="35817FB5"/>
    <w:rsid w:val="35D442B1"/>
    <w:rsid w:val="37614612"/>
    <w:rsid w:val="388C5B8C"/>
    <w:rsid w:val="391A37D2"/>
    <w:rsid w:val="415144E4"/>
    <w:rsid w:val="41774336"/>
    <w:rsid w:val="41EA4926"/>
    <w:rsid w:val="42611561"/>
    <w:rsid w:val="4427351F"/>
    <w:rsid w:val="4454186C"/>
    <w:rsid w:val="46FC54DD"/>
    <w:rsid w:val="47F16FFF"/>
    <w:rsid w:val="48CC5807"/>
    <w:rsid w:val="491078A4"/>
    <w:rsid w:val="4A85695F"/>
    <w:rsid w:val="4C54665B"/>
    <w:rsid w:val="4D271BFF"/>
    <w:rsid w:val="4D3159A8"/>
    <w:rsid w:val="4F0F2043"/>
    <w:rsid w:val="54665717"/>
    <w:rsid w:val="54D94248"/>
    <w:rsid w:val="569A3030"/>
    <w:rsid w:val="5CBF6610"/>
    <w:rsid w:val="5D45271F"/>
    <w:rsid w:val="5D8D5B48"/>
    <w:rsid w:val="5EC50168"/>
    <w:rsid w:val="60353A32"/>
    <w:rsid w:val="639F07CF"/>
    <w:rsid w:val="65E627D6"/>
    <w:rsid w:val="6C7227EB"/>
    <w:rsid w:val="6CDF59EE"/>
    <w:rsid w:val="6ECE6065"/>
    <w:rsid w:val="70776B4D"/>
    <w:rsid w:val="70A24B63"/>
    <w:rsid w:val="70FD58CE"/>
    <w:rsid w:val="724D4AF9"/>
    <w:rsid w:val="72627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0" w:firstLineChars="200"/>
      <w:jc w:val="left"/>
    </w:pPr>
    <w:rPr>
      <w:rFonts w:ascii="Times New Roman" w:hAnsi="Times New Roman" w:eastAsia="仿宋_GB2312" w:cstheme="minorBidi"/>
      <w:kern w:val="2"/>
      <w:sz w:val="24"/>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b/>
      <w:kern w:val="44"/>
      <w:sz w:val="44"/>
    </w:rPr>
  </w:style>
  <w:style w:type="paragraph" w:styleId="3">
    <w:name w:val="heading 2"/>
    <w:basedOn w:val="1"/>
    <w:next w:val="1"/>
    <w:autoRedefine/>
    <w:semiHidden/>
    <w:unhideWhenUsed/>
    <w:qFormat/>
    <w:uiPriority w:val="0"/>
    <w:pPr>
      <w:keepNext/>
      <w:keepLines/>
      <w:spacing w:before="260" w:after="260" w:line="500" w:lineRule="exact"/>
      <w:jc w:val="center"/>
      <w:outlineLvl w:val="1"/>
    </w:pPr>
    <w:rPr>
      <w:rFonts w:ascii="Arial" w:hAnsi="Arial" w:eastAsia="黑体" w:cs="Times New Roman"/>
      <w:sz w:val="36"/>
      <w:szCs w:val="20"/>
    </w:rPr>
  </w:style>
  <w:style w:type="paragraph" w:styleId="4">
    <w:name w:val="heading 3"/>
    <w:basedOn w:val="1"/>
    <w:next w:val="1"/>
    <w:autoRedefine/>
    <w:semiHidden/>
    <w:unhideWhenUsed/>
    <w:qFormat/>
    <w:uiPriority w:val="0"/>
    <w:pPr>
      <w:keepNext/>
      <w:keepLines/>
      <w:spacing w:beforeLines="0" w:beforeAutospacing="0" w:afterLines="0" w:afterAutospacing="0" w:line="560" w:lineRule="exact"/>
      <w:outlineLvl w:val="2"/>
    </w:pPr>
    <w:rPr>
      <w:rFonts w:ascii="Times New Roman" w:hAnsi="Times New Roman" w:eastAsia="楷体_GB2312"/>
      <w:b/>
      <w:sz w:val="32"/>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黑体"/>
      <w:b/>
      <w:sz w:val="28"/>
    </w:rPr>
  </w:style>
  <w:style w:type="character" w:default="1" w:styleId="13">
    <w:name w:val="Default Paragraph Font"/>
    <w:autoRedefine/>
    <w:semiHidden/>
    <w:qFormat/>
    <w:uiPriority w:val="0"/>
    <w:rPr>
      <w:rFonts w:ascii="Calibri" w:hAnsi="Calibri" w:eastAsia="宋体"/>
      <w:sz w:val="18"/>
    </w:rPr>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7"/>
    <w:autoRedefine/>
    <w:qFormat/>
    <w:uiPriority w:val="0"/>
    <w:pPr>
      <w:spacing w:after="120" w:afterLines="0" w:afterAutospacing="0"/>
    </w:pPr>
  </w:style>
  <w:style w:type="paragraph" w:styleId="7">
    <w:name w:val="Body Text First Indent"/>
    <w:basedOn w:val="6"/>
    <w:next w:val="8"/>
    <w:autoRedefine/>
    <w:unhideWhenUsed/>
    <w:qFormat/>
    <w:uiPriority w:val="99"/>
    <w:pPr>
      <w:ind w:firstLine="420" w:firstLineChars="100"/>
    </w:pPr>
  </w:style>
  <w:style w:type="paragraph" w:customStyle="1" w:styleId="8">
    <w:name w:val="样式 正文首行缩进 + 首行缩进:  2 字符1 Char Char"/>
    <w:autoRedefine/>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 w:type="paragraph" w:styleId="9">
    <w:name w:val="Date"/>
    <w:basedOn w:val="1"/>
    <w:next w:val="1"/>
    <w:autoRedefine/>
    <w:qFormat/>
    <w:uiPriority w:val="0"/>
    <w:pPr>
      <w:ind w:left="100" w:leftChars="2500"/>
    </w:pPr>
    <w:rPr>
      <w:rFonts w:ascii="Times New Roman" w:hAnsi="Times New Roman"/>
    </w:rPr>
  </w:style>
  <w:style w:type="paragraph" w:styleId="10">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4号字体"/>
    <w:basedOn w:val="1"/>
    <w:autoRedefine/>
    <w:qFormat/>
    <w:uiPriority w:val="0"/>
    <w:pPr>
      <w:keepNext/>
      <w:keepLines/>
      <w:ind w:firstLine="600" w:firstLineChars="200"/>
    </w:pPr>
    <w:rPr>
      <w:sz w:val="28"/>
    </w:rPr>
  </w:style>
  <w:style w:type="paragraph" w:customStyle="1" w:styleId="15">
    <w:name w:val="null3"/>
    <w:autoRedefine/>
    <w:hidden/>
    <w:qFormat/>
    <w:uiPriority w:val="0"/>
    <w:rPr>
      <w:rFonts w:hint="eastAsia" w:asciiTheme="minorHAnsi" w:hAnsiTheme="minorHAnsi" w:eastAsiaTheme="minorEastAsia" w:cstheme="minorBidi"/>
      <w:lang w:val="en-US" w:eastAsia="zh-Hans"/>
    </w:rPr>
  </w:style>
  <w:style w:type="paragraph" w:customStyle="1" w:styleId="16">
    <w:name w:val="正文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2100</Words>
  <Characters>2203</Characters>
  <Lines>0</Lines>
  <Paragraphs>0</Paragraphs>
  <TotalTime>4</TotalTime>
  <ScaleCrop>false</ScaleCrop>
  <LinksUpToDate>false</LinksUpToDate>
  <CharactersWithSpaces>2222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2022-11-21T05:58:00Z</dcterms:created>
  <dc:creator>Administrator</dc:creator>
  <cp:lastModifiedBy>A.勾勾勾</cp:lastModifiedBy>
  <dcterms:modified xsi:type="dcterms:W3CDTF">2026-06-25T08:20:59Z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CC7B75BA37BC490F8697685FBA7D9B95_13</vt:lpwstr>
  </property>
  <property fmtid="{D5CDD505-2E9C-101B-9397-08002B2CF9AE}" pid="4" name="KSOTemplateDocerSaveRecord">
    <vt:lpwstr>eyJoZGlkIjoiYjA5ZGExMGVkY2ZhNTlhYWQ2NjM3NmY1MWE4ZmZkYjIiLCJ1c2VySWQiOiI0NDk4OTEzNjgifQ==</vt:lpwstr>
  </property>
</Properties>
</file>