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016BE">
      <w:pPr>
        <w:pStyle w:val="17"/>
      </w:pPr>
      <w:r>
        <w:t>眉山市人民医院东坡院区UPS维修服务采购需求</w:t>
      </w:r>
    </w:p>
    <w:p w14:paraId="714846CC">
      <w:pPr>
        <w:pStyle w:val="2"/>
        <w:numPr>
          <w:ilvl w:val="0"/>
          <w:numId w:val="1"/>
        </w:numPr>
        <w:tabs>
          <w:tab w:val="left" w:pos="901"/>
        </w:tabs>
        <w:ind w:firstLine="482" w:firstLineChars="200"/>
        <w:rPr>
          <w:rFonts w:hint="eastAsia"/>
        </w:rPr>
      </w:pPr>
      <w:r>
        <w:t>项目概况</w:t>
      </w:r>
    </w:p>
    <w:p w14:paraId="43444731">
      <w:pPr>
        <w:pStyle w:val="3"/>
        <w:numPr>
          <w:ilvl w:val="0"/>
          <w:numId w:val="2"/>
        </w:numPr>
        <w:tabs>
          <w:tab w:val="left" w:pos="721"/>
          <w:tab w:val="clear" w:pos="210"/>
        </w:tabs>
        <w:ind w:firstLine="482" w:firstLineChars="200"/>
      </w:pPr>
      <w:r>
        <w:t>项目名称： 眉山市人民医院东坡院区UPS维修服务</w:t>
      </w:r>
    </w:p>
    <w:p w14:paraId="3CF86E2B">
      <w:pPr>
        <w:ind w:firstLine="720" w:firstLineChars="300"/>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项目预算： 人民币 18万元（大写：壹拾捌万元整）。</w:t>
      </w:r>
    </w:p>
    <w:p w14:paraId="7749D469">
      <w:pPr>
        <w:ind w:firstLine="720" w:firstLineChars="300"/>
        <w:rPr>
          <w:rFonts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本项目据实结算，最终结算金额不超过18万元。</w:t>
      </w:r>
    </w:p>
    <w:p w14:paraId="3DE88889">
      <w:pPr>
        <w:pStyle w:val="3"/>
        <w:numPr>
          <w:ilvl w:val="0"/>
          <w:numId w:val="2"/>
        </w:numPr>
        <w:tabs>
          <w:tab w:val="left" w:pos="721"/>
          <w:tab w:val="clear" w:pos="210"/>
        </w:tabs>
        <w:ind w:firstLine="482" w:firstLineChars="200"/>
      </w:pPr>
      <w:r>
        <w:t>项目背景：</w:t>
      </w:r>
    </w:p>
    <w:p w14:paraId="552EA34C">
      <w:pPr>
        <w:pStyle w:val="12"/>
        <w:ind w:firstLine="480"/>
      </w:pPr>
      <w:r>
        <w:t>我院进行了UPS年度检测保养，共检测UPS设备60台，56台设备合格正常，4台设备蓄电池已不符合要求。涉及区域及设备情况如下：</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8"/>
        <w:gridCol w:w="1659"/>
        <w:gridCol w:w="1659"/>
        <w:gridCol w:w="1660"/>
        <w:gridCol w:w="1660"/>
      </w:tblGrid>
      <w:tr w14:paraId="2433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Pr>
          <w:p w14:paraId="0451ECF0">
            <w:r>
              <w:rPr>
                <w:rFonts w:hint="eastAsia"/>
              </w:rPr>
              <w:t>设备品牌</w:t>
            </w:r>
          </w:p>
        </w:tc>
        <w:tc>
          <w:tcPr>
            <w:tcW w:w="999" w:type="pct"/>
          </w:tcPr>
          <w:p w14:paraId="3E448A5B">
            <w:r>
              <w:rPr>
                <w:rFonts w:hint="eastAsia"/>
              </w:rPr>
              <w:t>型号</w:t>
            </w:r>
          </w:p>
        </w:tc>
        <w:tc>
          <w:tcPr>
            <w:tcW w:w="999" w:type="pct"/>
          </w:tcPr>
          <w:p w14:paraId="56B3E42B">
            <w:r>
              <w:rPr>
                <w:rFonts w:hint="eastAsia"/>
              </w:rPr>
              <w:t>电池型号</w:t>
            </w:r>
          </w:p>
        </w:tc>
        <w:tc>
          <w:tcPr>
            <w:tcW w:w="1000" w:type="pct"/>
          </w:tcPr>
          <w:p w14:paraId="3500D766">
            <w:r>
              <w:rPr>
                <w:rFonts w:hint="eastAsia"/>
              </w:rPr>
              <w:t>电池数量</w:t>
            </w:r>
          </w:p>
        </w:tc>
        <w:tc>
          <w:tcPr>
            <w:tcW w:w="1000" w:type="pct"/>
          </w:tcPr>
          <w:p w14:paraId="7B72431C">
            <w:r>
              <w:rPr>
                <w:rFonts w:hint="eastAsia"/>
              </w:rPr>
              <w:t>使用位置</w:t>
            </w:r>
          </w:p>
        </w:tc>
      </w:tr>
      <w:tr w14:paraId="4D08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Pr>
          <w:p w14:paraId="062D2586">
            <w:r>
              <w:rPr>
                <w:rFonts w:hint="eastAsia"/>
              </w:rPr>
              <w:t>施耐德</w:t>
            </w:r>
          </w:p>
        </w:tc>
        <w:tc>
          <w:tcPr>
            <w:tcW w:w="999" w:type="pct"/>
          </w:tcPr>
          <w:p w14:paraId="7D0C2B93">
            <w:r>
              <w:rPr>
                <w:rFonts w:hint="eastAsia"/>
              </w:rPr>
              <w:t>60KVA</w:t>
            </w:r>
          </w:p>
        </w:tc>
        <w:tc>
          <w:tcPr>
            <w:tcW w:w="999" w:type="pct"/>
          </w:tcPr>
          <w:p w14:paraId="48A4BDD3">
            <w:r>
              <w:rPr>
                <w:rFonts w:hint="eastAsia"/>
              </w:rPr>
              <w:t>12V100AH</w:t>
            </w:r>
          </w:p>
        </w:tc>
        <w:tc>
          <w:tcPr>
            <w:tcW w:w="1000" w:type="pct"/>
          </w:tcPr>
          <w:p w14:paraId="4BF4A545">
            <w:r>
              <w:rPr>
                <w:rFonts w:hint="eastAsia"/>
              </w:rPr>
              <w:t>96</w:t>
            </w:r>
          </w:p>
        </w:tc>
        <w:tc>
          <w:tcPr>
            <w:tcW w:w="1000" w:type="pct"/>
          </w:tcPr>
          <w:p w14:paraId="77E4CBBC">
            <w:r>
              <w:rPr>
                <w:rFonts w:hint="eastAsia"/>
              </w:rPr>
              <w:t>行政楼2楼信息机房</w:t>
            </w:r>
          </w:p>
        </w:tc>
      </w:tr>
      <w:tr w14:paraId="351D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Pr>
          <w:p w14:paraId="46E4E475">
            <w:r>
              <w:rPr>
                <w:rFonts w:hint="eastAsia"/>
              </w:rPr>
              <w:t>易事特</w:t>
            </w:r>
          </w:p>
        </w:tc>
        <w:tc>
          <w:tcPr>
            <w:tcW w:w="999" w:type="pct"/>
          </w:tcPr>
          <w:p w14:paraId="01ED003C">
            <w:r>
              <w:rPr>
                <w:rFonts w:hint="eastAsia"/>
              </w:rPr>
              <w:t>160KVA</w:t>
            </w:r>
          </w:p>
        </w:tc>
        <w:tc>
          <w:tcPr>
            <w:tcW w:w="999" w:type="pct"/>
          </w:tcPr>
          <w:p w14:paraId="4013D2DB">
            <w:r>
              <w:rPr>
                <w:rFonts w:hint="eastAsia"/>
              </w:rPr>
              <w:t>12V100AH</w:t>
            </w:r>
          </w:p>
        </w:tc>
        <w:tc>
          <w:tcPr>
            <w:tcW w:w="1000" w:type="pct"/>
          </w:tcPr>
          <w:p w14:paraId="30D6ECBB">
            <w:r>
              <w:rPr>
                <w:rFonts w:hint="eastAsia"/>
              </w:rPr>
              <w:t>40</w:t>
            </w:r>
          </w:p>
        </w:tc>
        <w:tc>
          <w:tcPr>
            <w:tcW w:w="1000" w:type="pct"/>
          </w:tcPr>
          <w:p w14:paraId="455DF34F">
            <w:r>
              <w:rPr>
                <w:rFonts w:hint="eastAsia"/>
              </w:rPr>
              <w:t>综合楼1楼信息机房</w:t>
            </w:r>
          </w:p>
        </w:tc>
      </w:tr>
      <w:tr w14:paraId="29B3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Pr>
          <w:p w14:paraId="5E8E2B80">
            <w:r>
              <w:rPr>
                <w:rFonts w:hint="eastAsia"/>
              </w:rPr>
              <w:t>能力</w:t>
            </w:r>
          </w:p>
        </w:tc>
        <w:tc>
          <w:tcPr>
            <w:tcW w:w="999" w:type="pct"/>
          </w:tcPr>
          <w:p w14:paraId="0AFAD39B">
            <w:r>
              <w:rPr>
                <w:rFonts w:hint="eastAsia"/>
              </w:rPr>
              <w:t>40KVA</w:t>
            </w:r>
          </w:p>
        </w:tc>
        <w:tc>
          <w:tcPr>
            <w:tcW w:w="999" w:type="pct"/>
          </w:tcPr>
          <w:p w14:paraId="07149FD8">
            <w:r>
              <w:rPr>
                <w:rFonts w:hint="eastAsia"/>
              </w:rPr>
              <w:t>12V100AH</w:t>
            </w:r>
          </w:p>
        </w:tc>
        <w:tc>
          <w:tcPr>
            <w:tcW w:w="1000" w:type="pct"/>
          </w:tcPr>
          <w:p w14:paraId="5A9388A0">
            <w:r>
              <w:rPr>
                <w:rFonts w:hint="eastAsia"/>
              </w:rPr>
              <w:t>32</w:t>
            </w:r>
          </w:p>
        </w:tc>
        <w:tc>
          <w:tcPr>
            <w:tcW w:w="1000" w:type="pct"/>
          </w:tcPr>
          <w:p w14:paraId="6218238D">
            <w:r>
              <w:rPr>
                <w:rFonts w:hint="eastAsia"/>
              </w:rPr>
              <w:t>处置中心1楼信息机房</w:t>
            </w:r>
          </w:p>
        </w:tc>
      </w:tr>
      <w:tr w14:paraId="4C3E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Pr>
          <w:p w14:paraId="21F3A104">
            <w:r>
              <w:rPr>
                <w:rFonts w:hint="eastAsia"/>
              </w:rPr>
              <w:t>创电</w:t>
            </w:r>
          </w:p>
        </w:tc>
        <w:tc>
          <w:tcPr>
            <w:tcW w:w="999" w:type="pct"/>
          </w:tcPr>
          <w:p w14:paraId="0FC79164">
            <w:r>
              <w:rPr>
                <w:rFonts w:hint="eastAsia"/>
              </w:rPr>
              <w:t>30KVA</w:t>
            </w:r>
          </w:p>
        </w:tc>
        <w:tc>
          <w:tcPr>
            <w:tcW w:w="999" w:type="pct"/>
          </w:tcPr>
          <w:p w14:paraId="021B13F0">
            <w:r>
              <w:rPr>
                <w:rFonts w:hint="eastAsia"/>
              </w:rPr>
              <w:t>12V38AH</w:t>
            </w:r>
          </w:p>
        </w:tc>
        <w:tc>
          <w:tcPr>
            <w:tcW w:w="1000" w:type="pct"/>
          </w:tcPr>
          <w:p w14:paraId="3BB1EBC0">
            <w:r>
              <w:rPr>
                <w:rFonts w:hint="eastAsia"/>
              </w:rPr>
              <w:t>32</w:t>
            </w:r>
          </w:p>
        </w:tc>
        <w:tc>
          <w:tcPr>
            <w:tcW w:w="1000" w:type="pct"/>
          </w:tcPr>
          <w:p w14:paraId="215A0D14">
            <w:r>
              <w:rPr>
                <w:rFonts w:hint="eastAsia"/>
              </w:rPr>
              <w:t>综合楼三楼检验科机房</w:t>
            </w:r>
          </w:p>
        </w:tc>
      </w:tr>
      <w:tr w14:paraId="3A90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9" w:type="pct"/>
          </w:tcPr>
          <w:p w14:paraId="56473B15">
            <w:r>
              <w:rPr>
                <w:rFonts w:hint="eastAsia"/>
              </w:rPr>
              <w:t>合计</w:t>
            </w:r>
          </w:p>
        </w:tc>
        <w:tc>
          <w:tcPr>
            <w:tcW w:w="999" w:type="pct"/>
          </w:tcPr>
          <w:p w14:paraId="54D838FB"/>
        </w:tc>
        <w:tc>
          <w:tcPr>
            <w:tcW w:w="999" w:type="pct"/>
          </w:tcPr>
          <w:p w14:paraId="45ECE371"/>
        </w:tc>
        <w:tc>
          <w:tcPr>
            <w:tcW w:w="1000" w:type="pct"/>
          </w:tcPr>
          <w:p w14:paraId="75F39DD0">
            <w:r>
              <w:rPr>
                <w:rFonts w:hint="eastAsia"/>
              </w:rPr>
              <w:t>200只</w:t>
            </w:r>
          </w:p>
        </w:tc>
        <w:tc>
          <w:tcPr>
            <w:tcW w:w="1000" w:type="pct"/>
          </w:tcPr>
          <w:p w14:paraId="78FC1099"/>
        </w:tc>
      </w:tr>
    </w:tbl>
    <w:p w14:paraId="2FB3DBF5">
      <w:pPr>
        <w:pStyle w:val="12"/>
        <w:ind w:firstLine="480"/>
      </w:pPr>
      <w:r>
        <w:t>为预防电力突发闪停或停电对以上区域造成影响，保障后端用电设备安全稳定，现采购蓄电池进行维修更换。</w:t>
      </w:r>
    </w:p>
    <w:p w14:paraId="7142025D">
      <w:pPr>
        <w:pStyle w:val="3"/>
        <w:numPr>
          <w:ilvl w:val="0"/>
          <w:numId w:val="2"/>
        </w:numPr>
        <w:tabs>
          <w:tab w:val="left" w:pos="721"/>
          <w:tab w:val="clear" w:pos="210"/>
        </w:tabs>
        <w:ind w:firstLine="482" w:firstLineChars="200"/>
      </w:pPr>
      <w:r>
        <w:t>核心产品：</w:t>
      </w:r>
    </w:p>
    <w:p w14:paraId="0681E14F">
      <w:pPr>
        <w:pStyle w:val="12"/>
        <w:ind w:firstLine="480"/>
      </w:pPr>
      <w:r>
        <w:rPr>
          <w:rFonts w:hint="eastAsia"/>
        </w:rPr>
        <w:t>本项目核心产品为“12V100Ah阀控式密封铅酸蓄电池”及“12V38Ah阀控式密封铅酸蓄电池”。多家供应商提供的任一核心产品品牌相同的，按一家供应商计算。</w:t>
      </w:r>
    </w:p>
    <w:p w14:paraId="658D3151">
      <w:pPr>
        <w:pStyle w:val="2"/>
        <w:numPr>
          <w:ilvl w:val="0"/>
          <w:numId w:val="1"/>
        </w:numPr>
        <w:tabs>
          <w:tab w:val="left" w:pos="901"/>
        </w:tabs>
        <w:ind w:firstLine="482" w:firstLineChars="200"/>
        <w:rPr>
          <w:rFonts w:hint="eastAsia"/>
        </w:rPr>
      </w:pPr>
      <w:r>
        <w:t>技术参数要求</w:t>
      </w:r>
    </w:p>
    <w:p w14:paraId="6FE20474">
      <w:pPr>
        <w:pStyle w:val="12"/>
        <w:ind w:firstLine="480"/>
      </w:pPr>
      <w:r>
        <w:t>参考品牌（或同等档次品牌）： 施耐德、荷贝克、台达</w:t>
      </w:r>
    </w:p>
    <w:p w14:paraId="2F70D900">
      <w:pPr>
        <w:pStyle w:val="12"/>
        <w:ind w:firstLine="480"/>
        <w:rPr>
          <w:color w:val="FF0000"/>
        </w:rPr>
      </w:pPr>
      <w:r>
        <w:rPr>
          <w:color w:val="auto"/>
        </w:rPr>
        <w:t>蓄电池</w:t>
      </w:r>
      <w:r>
        <w:rPr>
          <w:rFonts w:hint="eastAsia"/>
          <w:color w:val="auto"/>
        </w:rPr>
        <w:t>需提供泰尔检测报告，</w:t>
      </w:r>
      <w:r>
        <w:t>性能应符合 YD/T 799（</w:t>
      </w:r>
      <w:r>
        <w:rPr>
          <w:rFonts w:hint="eastAsia"/>
        </w:rPr>
        <w:t>或</w:t>
      </w:r>
      <w:r>
        <w:t>现行有效版本） 中关于阀控式密封铅酸蓄电池的全部要求，且不低于以下指标：</w:t>
      </w:r>
      <w:r>
        <w:rPr>
          <w:color w:val="FF0000"/>
        </w:rPr>
        <w:t xml:space="preserve"> </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231"/>
        <w:gridCol w:w="5248"/>
      </w:tblGrid>
      <w:tr w14:paraId="00DD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7A858B88">
            <w:r>
              <w:rPr>
                <w:rFonts w:hint="eastAsia"/>
              </w:rPr>
              <w:t>序号</w:t>
            </w:r>
          </w:p>
        </w:tc>
        <w:tc>
          <w:tcPr>
            <w:tcW w:w="1344" w:type="pct"/>
          </w:tcPr>
          <w:p w14:paraId="2BBF462D">
            <w:r>
              <w:rPr>
                <w:rFonts w:hint="eastAsia"/>
              </w:rPr>
              <w:t>指标项</w:t>
            </w:r>
          </w:p>
        </w:tc>
        <w:tc>
          <w:tcPr>
            <w:tcW w:w="3162" w:type="pct"/>
          </w:tcPr>
          <w:p w14:paraId="692DE262">
            <w:r>
              <w:rPr>
                <w:rFonts w:hint="eastAsia"/>
              </w:rPr>
              <w:t>技术要求</w:t>
            </w:r>
          </w:p>
        </w:tc>
      </w:tr>
      <w:tr w14:paraId="1CC1D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2929A082">
            <w:r>
              <w:rPr>
                <w:rFonts w:hint="eastAsia"/>
              </w:rPr>
              <w:t>1</w:t>
            </w:r>
          </w:p>
        </w:tc>
        <w:tc>
          <w:tcPr>
            <w:tcW w:w="1344" w:type="pct"/>
          </w:tcPr>
          <w:p w14:paraId="12D0DCA8">
            <w:r>
              <w:rPr>
                <w:rFonts w:hint="eastAsia"/>
              </w:rPr>
              <w:t>类型</w:t>
            </w:r>
          </w:p>
        </w:tc>
        <w:tc>
          <w:tcPr>
            <w:tcW w:w="3162" w:type="pct"/>
          </w:tcPr>
          <w:p w14:paraId="5ABBE95B">
            <w:r>
              <w:rPr>
                <w:rFonts w:hint="eastAsia"/>
              </w:rPr>
              <w:t>阀控式密封铅酸蓄电池，免维护设计</w:t>
            </w:r>
          </w:p>
        </w:tc>
      </w:tr>
      <w:tr w14:paraId="6C2A5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482BD98E">
            <w:r>
              <w:rPr>
                <w:rFonts w:hint="eastAsia"/>
              </w:rPr>
              <w:t>2</w:t>
            </w:r>
          </w:p>
        </w:tc>
        <w:tc>
          <w:tcPr>
            <w:tcW w:w="1344" w:type="pct"/>
          </w:tcPr>
          <w:p w14:paraId="309DC675">
            <w:r>
              <w:rPr>
                <w:rFonts w:hint="eastAsia"/>
              </w:rPr>
              <w:t>额定电压</w:t>
            </w:r>
          </w:p>
        </w:tc>
        <w:tc>
          <w:tcPr>
            <w:tcW w:w="3162" w:type="pct"/>
          </w:tcPr>
          <w:p w14:paraId="63DC2D15">
            <w:r>
              <w:rPr>
                <w:rFonts w:hint="eastAsia"/>
              </w:rPr>
              <w:t>12V</w:t>
            </w:r>
          </w:p>
        </w:tc>
      </w:tr>
      <w:tr w14:paraId="0F552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3BCF0294">
            <w:r>
              <w:rPr>
                <w:rFonts w:hint="eastAsia"/>
              </w:rPr>
              <w:t>3</w:t>
            </w:r>
          </w:p>
        </w:tc>
        <w:tc>
          <w:tcPr>
            <w:tcW w:w="1344" w:type="pct"/>
          </w:tcPr>
          <w:p w14:paraId="42A6EF57">
            <w:r>
              <w:rPr>
                <w:rFonts w:hint="eastAsia"/>
              </w:rPr>
              <w:t>额定容量</w:t>
            </w:r>
          </w:p>
        </w:tc>
        <w:tc>
          <w:tcPr>
            <w:tcW w:w="3162" w:type="pct"/>
          </w:tcPr>
          <w:p w14:paraId="289D583C">
            <w:r>
              <w:rPr>
                <w:rFonts w:hint="eastAsia"/>
              </w:rPr>
              <w:t>38Ah（20h率，25℃）32只；100Ah（20h率，25℃）168只</w:t>
            </w:r>
          </w:p>
        </w:tc>
      </w:tr>
      <w:tr w14:paraId="7815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18E1DE2E">
            <w:r>
              <w:rPr>
                <w:rFonts w:hint="eastAsia"/>
              </w:rPr>
              <w:t>4</w:t>
            </w:r>
          </w:p>
        </w:tc>
        <w:tc>
          <w:tcPr>
            <w:tcW w:w="1344" w:type="pct"/>
          </w:tcPr>
          <w:p w14:paraId="71348059">
            <w:r>
              <w:rPr>
                <w:rFonts w:hint="eastAsia"/>
              </w:rPr>
              <w:t>外观与结构</w:t>
            </w:r>
          </w:p>
        </w:tc>
        <w:tc>
          <w:tcPr>
            <w:tcW w:w="3162" w:type="pct"/>
          </w:tcPr>
          <w:p w14:paraId="70AD5176">
            <w:r>
              <w:rPr>
                <w:rFonts w:hint="eastAsia"/>
              </w:rPr>
              <w:t>外壳无变形、漏液、裂纹、污迹，正负极端子有清晰标识</w:t>
            </w:r>
          </w:p>
        </w:tc>
      </w:tr>
      <w:tr w14:paraId="6510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726C7B04">
            <w:r>
              <w:rPr>
                <w:rFonts w:hint="eastAsia"/>
              </w:rPr>
              <w:t>5</w:t>
            </w:r>
          </w:p>
        </w:tc>
        <w:tc>
          <w:tcPr>
            <w:tcW w:w="1344" w:type="pct"/>
          </w:tcPr>
          <w:p w14:paraId="4DF70C24">
            <w:r>
              <w:rPr>
                <w:rFonts w:hint="eastAsia"/>
              </w:rPr>
              <w:t>阻燃性能</w:t>
            </w:r>
          </w:p>
        </w:tc>
        <w:tc>
          <w:tcPr>
            <w:tcW w:w="3162" w:type="pct"/>
          </w:tcPr>
          <w:p w14:paraId="2E160F85">
            <w:r>
              <w:rPr>
                <w:rFonts w:hint="eastAsia"/>
              </w:rPr>
              <w:t>蓄电池壳、盖、连接条保护罩应符合GB/T 2408（现行有效版本）的V-0级垂直燃烧要求</w:t>
            </w:r>
          </w:p>
        </w:tc>
      </w:tr>
      <w:tr w14:paraId="71F38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326B8B90">
            <w:r>
              <w:rPr>
                <w:rFonts w:hint="eastAsia"/>
              </w:rPr>
              <w:t>6</w:t>
            </w:r>
          </w:p>
        </w:tc>
        <w:tc>
          <w:tcPr>
            <w:tcW w:w="1344" w:type="pct"/>
          </w:tcPr>
          <w:p w14:paraId="3E596124">
            <w:r>
              <w:rPr>
                <w:rFonts w:hint="eastAsia"/>
              </w:rPr>
              <w:t>容量</w:t>
            </w:r>
          </w:p>
        </w:tc>
        <w:tc>
          <w:tcPr>
            <w:tcW w:w="3162" w:type="pct"/>
          </w:tcPr>
          <w:p w14:paraId="6734DE38">
            <w:pPr>
              <w:rPr>
                <w:color w:val="auto"/>
              </w:rPr>
            </w:pPr>
            <w:r>
              <w:rPr>
                <w:rFonts w:hint="eastAsia"/>
                <w:color w:val="auto"/>
              </w:rPr>
              <w:t>（1）10小时率放电：以1.0I₁₀放电至10.8V，容量≥C₁₀（100）</w:t>
            </w:r>
          </w:p>
          <w:p w14:paraId="6E701E67">
            <w:pPr>
              <w:rPr>
                <w:color w:val="auto"/>
              </w:rPr>
            </w:pPr>
            <w:r>
              <w:rPr>
                <w:rFonts w:hint="eastAsia"/>
                <w:color w:val="auto"/>
              </w:rPr>
              <w:t>（2）3小时率放电：以2.5I₁₀放电至10.8V，容量≥0.75C₁₀（75）</w:t>
            </w:r>
          </w:p>
          <w:p w14:paraId="68A4EDC0">
            <w:r>
              <w:rPr>
                <w:rFonts w:hint="eastAsia"/>
                <w:color w:val="auto"/>
              </w:rPr>
              <w:t>（3）1小时率放电：以5.5I₁₀放电至10.8V，容量≥0.55C₁₀（55）</w:t>
            </w:r>
          </w:p>
        </w:tc>
      </w:tr>
      <w:tr w14:paraId="4995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0D3B5D2D">
            <w:r>
              <w:rPr>
                <w:rFonts w:hint="eastAsia"/>
              </w:rPr>
              <w:t>7</w:t>
            </w:r>
          </w:p>
        </w:tc>
        <w:tc>
          <w:tcPr>
            <w:tcW w:w="1344" w:type="pct"/>
          </w:tcPr>
          <w:p w14:paraId="4D119ADC">
            <w:r>
              <w:rPr>
                <w:rFonts w:hint="eastAsia"/>
              </w:rPr>
              <w:t>容量保存率</w:t>
            </w:r>
          </w:p>
        </w:tc>
        <w:tc>
          <w:tcPr>
            <w:tcW w:w="3162" w:type="pct"/>
          </w:tcPr>
          <w:p w14:paraId="24A6A899">
            <w:r>
              <w:rPr>
                <w:rFonts w:hint="eastAsia"/>
              </w:rPr>
              <w:t>静置28天后容量保存率≥97%</w:t>
            </w:r>
          </w:p>
        </w:tc>
      </w:tr>
      <w:tr w14:paraId="44641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1C852920">
            <w:r>
              <w:rPr>
                <w:rFonts w:hint="eastAsia"/>
              </w:rPr>
              <w:t>8</w:t>
            </w:r>
          </w:p>
        </w:tc>
        <w:tc>
          <w:tcPr>
            <w:tcW w:w="1344" w:type="pct"/>
          </w:tcPr>
          <w:p w14:paraId="2287F166">
            <w:r>
              <w:rPr>
                <w:rFonts w:hint="eastAsia"/>
              </w:rPr>
              <w:t>密封反应效率</w:t>
            </w:r>
          </w:p>
        </w:tc>
        <w:tc>
          <w:tcPr>
            <w:tcW w:w="3162" w:type="pct"/>
          </w:tcPr>
          <w:p w14:paraId="3F6ABFB7">
            <w:r>
              <w:rPr>
                <w:rFonts w:hint="eastAsia"/>
              </w:rPr>
              <w:t>≥98%</w:t>
            </w:r>
          </w:p>
        </w:tc>
      </w:tr>
      <w:tr w14:paraId="0585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129EC8F1">
            <w:r>
              <w:rPr>
                <w:rFonts w:hint="eastAsia"/>
              </w:rPr>
              <w:t>9</w:t>
            </w:r>
          </w:p>
        </w:tc>
        <w:tc>
          <w:tcPr>
            <w:tcW w:w="1344" w:type="pct"/>
          </w:tcPr>
          <w:p w14:paraId="7E7083AE">
            <w:r>
              <w:rPr>
                <w:rFonts w:hint="eastAsia"/>
              </w:rPr>
              <w:t>防酸雾性能</w:t>
            </w:r>
          </w:p>
        </w:tc>
        <w:tc>
          <w:tcPr>
            <w:tcW w:w="3162" w:type="pct"/>
          </w:tcPr>
          <w:p w14:paraId="6C79B980">
            <w:r>
              <w:rPr>
                <w:rFonts w:hint="eastAsia"/>
              </w:rPr>
              <w:t>防酸雾性能：完全充电后的电池以0.2I₁₀A电流连续充电4h，用广泛PH试纸检测析出气体冷凝液，PH值应在 6.5～7.5 范围内。</w:t>
            </w:r>
          </w:p>
        </w:tc>
      </w:tr>
      <w:tr w14:paraId="1911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6281645C">
            <w:r>
              <w:rPr>
                <w:rFonts w:hint="eastAsia"/>
              </w:rPr>
              <w:t>10</w:t>
            </w:r>
          </w:p>
        </w:tc>
        <w:tc>
          <w:tcPr>
            <w:tcW w:w="1344" w:type="pct"/>
          </w:tcPr>
          <w:p w14:paraId="443D2C82">
            <w:r>
              <w:rPr>
                <w:rFonts w:hint="eastAsia"/>
              </w:rPr>
              <w:t>耐过充电能力</w:t>
            </w:r>
          </w:p>
        </w:tc>
        <w:tc>
          <w:tcPr>
            <w:tcW w:w="3162" w:type="pct"/>
          </w:tcPr>
          <w:p w14:paraId="3AC9A56C">
            <w:r>
              <w:rPr>
                <w:rFonts w:hint="eastAsia"/>
              </w:rPr>
              <w:t>完全充电后以0.3I₁₀A充电160h，不变形、不漏液</w:t>
            </w:r>
          </w:p>
        </w:tc>
      </w:tr>
      <w:tr w14:paraId="55C1A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7DA3584C">
            <w:r>
              <w:rPr>
                <w:rFonts w:hint="eastAsia"/>
              </w:rPr>
              <w:t>11</w:t>
            </w:r>
          </w:p>
        </w:tc>
        <w:tc>
          <w:tcPr>
            <w:tcW w:w="1344" w:type="pct"/>
          </w:tcPr>
          <w:p w14:paraId="18ED9E95">
            <w:r>
              <w:rPr>
                <w:rFonts w:hint="eastAsia"/>
              </w:rPr>
              <w:t>端电压均衡性</w:t>
            </w:r>
          </w:p>
        </w:tc>
        <w:tc>
          <w:tcPr>
            <w:tcW w:w="3162" w:type="pct"/>
          </w:tcPr>
          <w:p w14:paraId="31169316">
            <w:r>
              <w:rPr>
                <w:rFonts w:hint="eastAsia"/>
              </w:rPr>
              <w:t>开路：最高与最低差值≤90mV（参照YD/T 799标准）</w:t>
            </w:r>
          </w:p>
          <w:p w14:paraId="10EDB3FC">
            <w:r>
              <w:rPr>
                <w:rFonts w:hint="eastAsia"/>
              </w:rPr>
              <w:t>浮充24h后：端电压差≤100mV</w:t>
            </w:r>
          </w:p>
          <w:p w14:paraId="1C85160B">
            <w:r>
              <w:rPr>
                <w:rFonts w:hint="eastAsia"/>
              </w:rPr>
              <w:t>放电：端电压差≤100mV</w:t>
            </w:r>
          </w:p>
        </w:tc>
      </w:tr>
      <w:tr w14:paraId="7013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0D1E3FEC">
            <w:r>
              <w:rPr>
                <w:rFonts w:hint="eastAsia"/>
              </w:rPr>
              <w:t>12</w:t>
            </w:r>
          </w:p>
        </w:tc>
        <w:tc>
          <w:tcPr>
            <w:tcW w:w="1344" w:type="pct"/>
          </w:tcPr>
          <w:p w14:paraId="7F926235">
            <w:r>
              <w:rPr>
                <w:rFonts w:hint="eastAsia"/>
              </w:rPr>
              <w:t>防爆性能</w:t>
            </w:r>
          </w:p>
        </w:tc>
        <w:tc>
          <w:tcPr>
            <w:tcW w:w="3162" w:type="pct"/>
          </w:tcPr>
          <w:p w14:paraId="35E3ADCB">
            <w:r>
              <w:rPr>
                <w:rFonts w:hint="eastAsia"/>
              </w:rPr>
              <w:t>充电过程中遇明火，内部不引燃、不引爆</w:t>
            </w:r>
          </w:p>
        </w:tc>
      </w:tr>
      <w:tr w14:paraId="1526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3F31610A">
            <w:r>
              <w:rPr>
                <w:rFonts w:hint="eastAsia"/>
              </w:rPr>
              <w:t>13</w:t>
            </w:r>
          </w:p>
        </w:tc>
        <w:tc>
          <w:tcPr>
            <w:tcW w:w="1344" w:type="pct"/>
          </w:tcPr>
          <w:p w14:paraId="6B63BC2A">
            <w:r>
              <w:rPr>
                <w:rFonts w:hint="eastAsia"/>
              </w:rPr>
              <w:t>过放电恢复</w:t>
            </w:r>
          </w:p>
        </w:tc>
        <w:tc>
          <w:tcPr>
            <w:tcW w:w="3162" w:type="pct"/>
          </w:tcPr>
          <w:p w14:paraId="63B47A19">
            <w:r>
              <w:rPr>
                <w:rFonts w:hint="eastAsia"/>
              </w:rPr>
              <w:t>容量恢复值≥98%</w:t>
            </w:r>
          </w:p>
        </w:tc>
      </w:tr>
      <w:tr w14:paraId="08EAB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6319B4CF">
            <w:r>
              <w:rPr>
                <w:rFonts w:hint="eastAsia"/>
              </w:rPr>
              <w:t>14</w:t>
            </w:r>
          </w:p>
        </w:tc>
        <w:tc>
          <w:tcPr>
            <w:tcW w:w="1344" w:type="pct"/>
          </w:tcPr>
          <w:p w14:paraId="40494EE7">
            <w:r>
              <w:rPr>
                <w:rFonts w:hint="eastAsia"/>
              </w:rPr>
              <w:t>环境适应性</w:t>
            </w:r>
          </w:p>
        </w:tc>
        <w:tc>
          <w:tcPr>
            <w:tcW w:w="3162" w:type="pct"/>
          </w:tcPr>
          <w:p w14:paraId="1835B7E4">
            <w:r>
              <w:rPr>
                <w:rFonts w:hint="eastAsia"/>
              </w:rPr>
              <w:t>放电温度：-20℃～55℃；存储温度：-15℃～50℃</w:t>
            </w:r>
          </w:p>
        </w:tc>
      </w:tr>
      <w:tr w14:paraId="0D5EA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7D287CCC">
            <w:r>
              <w:rPr>
                <w:rFonts w:hint="eastAsia"/>
              </w:rPr>
              <w:t>15</w:t>
            </w:r>
          </w:p>
        </w:tc>
        <w:tc>
          <w:tcPr>
            <w:tcW w:w="1344" w:type="pct"/>
          </w:tcPr>
          <w:p w14:paraId="5353C1D1">
            <w:r>
              <w:rPr>
                <w:rFonts w:hint="eastAsia"/>
              </w:rPr>
              <w:t>标准与认证</w:t>
            </w:r>
          </w:p>
        </w:tc>
        <w:tc>
          <w:tcPr>
            <w:tcW w:w="3162" w:type="pct"/>
          </w:tcPr>
          <w:p w14:paraId="6265ED2C">
            <w:r>
              <w:rPr>
                <w:rFonts w:hint="eastAsia"/>
              </w:rPr>
              <w:t>符合YD/T 799及GB/T 19638.2的现行有效版本。评选时须提供产品认证证书及泰尔认证检测报告（检测结论为合格）</w:t>
            </w:r>
          </w:p>
        </w:tc>
      </w:tr>
      <w:tr w14:paraId="347FB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3" w:type="pct"/>
          </w:tcPr>
          <w:p w14:paraId="35553AB8">
            <w:r>
              <w:rPr>
                <w:rFonts w:hint="eastAsia"/>
              </w:rPr>
              <w:t>16</w:t>
            </w:r>
          </w:p>
        </w:tc>
        <w:tc>
          <w:tcPr>
            <w:tcW w:w="1344" w:type="pct"/>
          </w:tcPr>
          <w:p w14:paraId="0A5D9F2A">
            <w:r>
              <w:rPr>
                <w:rFonts w:hint="eastAsia"/>
              </w:rPr>
              <w:t>与现有UPS兼容性</w:t>
            </w:r>
          </w:p>
        </w:tc>
        <w:tc>
          <w:tcPr>
            <w:tcW w:w="3162" w:type="pct"/>
          </w:tcPr>
          <w:p w14:paraId="68DEC3DB">
            <w:r>
              <w:rPr>
                <w:rFonts w:hint="eastAsia"/>
              </w:rPr>
              <w:t>供应商须承诺所供电池能与原UPS系统（品牌及型号见项目概况）匹配运行，不触发报警。安装完成后须进行充放电测试。</w:t>
            </w:r>
          </w:p>
          <w:p w14:paraId="646E5396">
            <w:r>
              <w:rPr>
                <w:rFonts w:hint="eastAsia"/>
              </w:rPr>
              <w:t>若因电池兼容性问题导致UPS无法正常运行、触发报警或损坏UPS设备的，供应商应在48小时内免费更换为兼容型号，并承担由此造成的一切损失。</w:t>
            </w:r>
          </w:p>
          <w:p w14:paraId="51082432"/>
        </w:tc>
      </w:tr>
    </w:tbl>
    <w:p w14:paraId="4F6C1401">
      <w:pPr>
        <w:pStyle w:val="2"/>
        <w:numPr>
          <w:ilvl w:val="0"/>
          <w:numId w:val="1"/>
        </w:numPr>
        <w:tabs>
          <w:tab w:val="left" w:pos="901"/>
        </w:tabs>
        <w:ind w:firstLine="482" w:firstLineChars="200"/>
        <w:rPr>
          <w:rFonts w:hint="eastAsia"/>
        </w:rPr>
      </w:pPr>
      <w:r>
        <w:t>服务要求</w:t>
      </w:r>
    </w:p>
    <w:p w14:paraId="5838C72B">
      <w:pPr>
        <w:pStyle w:val="3"/>
        <w:numPr>
          <w:ilvl w:val="0"/>
          <w:numId w:val="3"/>
        </w:numPr>
        <w:tabs>
          <w:tab w:val="left" w:pos="721"/>
          <w:tab w:val="clear" w:pos="210"/>
        </w:tabs>
        <w:ind w:firstLine="482" w:firstLineChars="200"/>
      </w:pPr>
      <w:r>
        <w:t>供应商资质要求</w:t>
      </w:r>
    </w:p>
    <w:p w14:paraId="66F25D85">
      <w:pPr>
        <w:pStyle w:val="12"/>
        <w:numPr>
          <w:ilvl w:val="0"/>
          <w:numId w:val="0"/>
        </w:numPr>
        <w:tabs>
          <w:tab w:val="left" w:pos="900"/>
        </w:tabs>
        <w:ind w:leftChars="200"/>
      </w:pPr>
      <w:r>
        <w:t>供应商须为在中华人民共和国境内注册，具有独立承担民事责任能力的法人或其他组织。</w:t>
      </w:r>
    </w:p>
    <w:p w14:paraId="6D6259A6">
      <w:pPr>
        <w:pStyle w:val="3"/>
        <w:numPr>
          <w:ilvl w:val="0"/>
          <w:numId w:val="3"/>
        </w:numPr>
        <w:tabs>
          <w:tab w:val="left" w:pos="721"/>
          <w:tab w:val="clear" w:pos="210"/>
        </w:tabs>
        <w:ind w:firstLine="482" w:firstLineChars="200"/>
      </w:pPr>
      <w:r>
        <w:t>人员要求</w:t>
      </w:r>
    </w:p>
    <w:p w14:paraId="0D5DD8CA">
      <w:pPr>
        <w:pStyle w:val="12"/>
        <w:ind w:firstLine="480"/>
        <w:rPr>
          <w:color w:val="auto"/>
        </w:rPr>
      </w:pPr>
      <w:r>
        <w:rPr>
          <w:color w:val="auto"/>
        </w:rPr>
        <w:t>电池更换人员须具有3年及以上行业经验，并持有特种作业操作证（电工）（评选文件中提供证明材料）。</w:t>
      </w:r>
    </w:p>
    <w:p w14:paraId="21B27E5C">
      <w:pPr>
        <w:pStyle w:val="3"/>
        <w:numPr>
          <w:ilvl w:val="0"/>
          <w:numId w:val="3"/>
        </w:numPr>
        <w:tabs>
          <w:tab w:val="left" w:pos="721"/>
          <w:tab w:val="clear" w:pos="210"/>
        </w:tabs>
        <w:ind w:firstLine="482" w:firstLineChars="200"/>
      </w:pPr>
      <w:r>
        <w:t>供货与安装</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7372"/>
      </w:tblGrid>
      <w:tr w14:paraId="244A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1FDB41A4">
            <w:r>
              <w:rPr>
                <w:rFonts w:hint="eastAsia"/>
              </w:rPr>
              <w:t>序号</w:t>
            </w:r>
          </w:p>
        </w:tc>
        <w:tc>
          <w:tcPr>
            <w:tcW w:w="4442" w:type="pct"/>
          </w:tcPr>
          <w:p w14:paraId="112F013E">
            <w:r>
              <w:rPr>
                <w:rFonts w:hint="eastAsia"/>
              </w:rPr>
              <w:t>要求内容</w:t>
            </w:r>
          </w:p>
        </w:tc>
      </w:tr>
      <w:tr w14:paraId="1EBC0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2F747022">
            <w:r>
              <w:rPr>
                <w:rFonts w:hint="eastAsia"/>
              </w:rPr>
              <w:t>3.1</w:t>
            </w:r>
          </w:p>
        </w:tc>
        <w:tc>
          <w:tcPr>
            <w:tcW w:w="4442" w:type="pct"/>
          </w:tcPr>
          <w:p w14:paraId="30B5917E">
            <w:r>
              <w:rPr>
                <w:rFonts w:hint="eastAsia"/>
              </w:rPr>
              <w:t>蓄电池须为全新原装正品，拒绝翻新，生产日期距交货日期不超过12个月</w:t>
            </w:r>
          </w:p>
        </w:tc>
      </w:tr>
      <w:tr w14:paraId="49BF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42575652">
            <w:r>
              <w:rPr>
                <w:rFonts w:hint="eastAsia"/>
              </w:rPr>
              <w:t>3.2</w:t>
            </w:r>
          </w:p>
        </w:tc>
        <w:tc>
          <w:tcPr>
            <w:tcW w:w="4442" w:type="pct"/>
          </w:tcPr>
          <w:p w14:paraId="719A705C">
            <w:r>
              <w:rPr>
                <w:rFonts w:hint="eastAsia"/>
              </w:rPr>
              <w:t>供货时限：合同签订后15天内，具体更换时间按采购人要求执行</w:t>
            </w:r>
          </w:p>
        </w:tc>
      </w:tr>
      <w:tr w14:paraId="0DE1C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1D80E33E">
            <w:r>
              <w:rPr>
                <w:rFonts w:hint="eastAsia"/>
              </w:rPr>
              <w:t>3.3</w:t>
            </w:r>
          </w:p>
        </w:tc>
        <w:tc>
          <w:tcPr>
            <w:tcW w:w="4442" w:type="pct"/>
          </w:tcPr>
          <w:p w14:paraId="6CBAC277">
            <w:r>
              <w:rPr>
                <w:rFonts w:hint="eastAsia"/>
              </w:rPr>
              <w:t>安装服务：含旧电池拆除、搬运、新电池安装、接线、调试、参数校准</w:t>
            </w:r>
          </w:p>
        </w:tc>
      </w:tr>
      <w:tr w14:paraId="5F10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09793C14">
            <w:r>
              <w:rPr>
                <w:rFonts w:hint="eastAsia"/>
              </w:rPr>
              <w:t>3.4</w:t>
            </w:r>
          </w:p>
        </w:tc>
        <w:tc>
          <w:tcPr>
            <w:tcW w:w="4442" w:type="pct"/>
          </w:tcPr>
          <w:p w14:paraId="61407F2D">
            <w:r>
              <w:rPr>
                <w:rFonts w:hint="eastAsia"/>
              </w:rPr>
              <w:t>更换过程不得中断负载，须提交施工方案及应急预案</w:t>
            </w:r>
          </w:p>
        </w:tc>
      </w:tr>
      <w:tr w14:paraId="39719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4C16F4C9">
            <w:r>
              <w:rPr>
                <w:rFonts w:hint="eastAsia"/>
              </w:rPr>
              <w:t>3.5</w:t>
            </w:r>
          </w:p>
        </w:tc>
        <w:tc>
          <w:tcPr>
            <w:tcW w:w="4442" w:type="pct"/>
          </w:tcPr>
          <w:p w14:paraId="1B715437">
            <w:r>
              <w:rPr>
                <w:rFonts w:hint="eastAsia"/>
              </w:rPr>
              <w:t>验收：安装完成后进行72小时试运行，提交内阻测试报告</w:t>
            </w:r>
          </w:p>
        </w:tc>
      </w:tr>
    </w:tbl>
    <w:p w14:paraId="09931BA7">
      <w:pPr>
        <w:pStyle w:val="3"/>
        <w:numPr>
          <w:ilvl w:val="0"/>
          <w:numId w:val="3"/>
        </w:numPr>
        <w:tabs>
          <w:tab w:val="left" w:pos="721"/>
          <w:tab w:val="clear" w:pos="210"/>
        </w:tabs>
        <w:ind w:firstLine="482" w:firstLineChars="200"/>
      </w:pPr>
      <w:r>
        <w:t>质保与售后</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7372"/>
      </w:tblGrid>
      <w:tr w14:paraId="5C4C9E7E">
        <w:tblPrEx>
          <w:tblCellMar>
            <w:top w:w="0" w:type="dxa"/>
            <w:left w:w="108" w:type="dxa"/>
            <w:bottom w:w="0" w:type="dxa"/>
            <w:right w:w="108" w:type="dxa"/>
          </w:tblCellMar>
        </w:tblPrEx>
        <w:tc>
          <w:tcPr>
            <w:tcW w:w="557" w:type="pct"/>
          </w:tcPr>
          <w:p w14:paraId="1D3F2E82">
            <w:r>
              <w:rPr>
                <w:rFonts w:hint="eastAsia"/>
              </w:rPr>
              <w:t>序号</w:t>
            </w:r>
          </w:p>
        </w:tc>
        <w:tc>
          <w:tcPr>
            <w:tcW w:w="4442" w:type="pct"/>
          </w:tcPr>
          <w:p w14:paraId="1E97013E">
            <w:r>
              <w:rPr>
                <w:rFonts w:hint="eastAsia"/>
              </w:rPr>
              <w:t>要求内容</w:t>
            </w:r>
          </w:p>
        </w:tc>
      </w:tr>
      <w:tr w14:paraId="1115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6BE3891E">
            <w:r>
              <w:rPr>
                <w:rFonts w:hint="eastAsia"/>
              </w:rPr>
              <w:t>4.1</w:t>
            </w:r>
          </w:p>
        </w:tc>
        <w:tc>
          <w:tcPr>
            <w:tcW w:w="4442" w:type="pct"/>
          </w:tcPr>
          <w:p w14:paraId="555CA1D0">
            <w:r>
              <w:rPr>
                <w:rFonts w:hint="eastAsia"/>
              </w:rPr>
              <w:t>质保期：≥3年免费质保（自最终验收合格之日起计算）</w:t>
            </w:r>
          </w:p>
        </w:tc>
      </w:tr>
      <w:tr w14:paraId="3591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6A919544">
            <w:r>
              <w:rPr>
                <w:rFonts w:hint="eastAsia"/>
              </w:rPr>
              <w:t>4.2</w:t>
            </w:r>
          </w:p>
        </w:tc>
        <w:tc>
          <w:tcPr>
            <w:tcW w:w="4442" w:type="pct"/>
          </w:tcPr>
          <w:p w14:paraId="67AB91E1">
            <w:r>
              <w:rPr>
                <w:rFonts w:hint="eastAsia"/>
              </w:rPr>
              <w:t>质保范围：质保期内免费更换漏液、鼓包等故障电池</w:t>
            </w:r>
          </w:p>
        </w:tc>
      </w:tr>
      <w:tr w14:paraId="2E34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2D43D460">
            <w:r>
              <w:rPr>
                <w:rFonts w:hint="eastAsia"/>
              </w:rPr>
              <w:t>4.3</w:t>
            </w:r>
          </w:p>
        </w:tc>
        <w:tc>
          <w:tcPr>
            <w:tcW w:w="4442" w:type="pct"/>
          </w:tcPr>
          <w:p w14:paraId="31D3661D">
            <w:r>
              <w:rPr>
                <w:rFonts w:hint="eastAsia"/>
              </w:rPr>
              <w:t>更换周期：故障确认后≤3个工作日内到场更换</w:t>
            </w:r>
          </w:p>
        </w:tc>
      </w:tr>
      <w:tr w14:paraId="5200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7" w:type="pct"/>
          </w:tcPr>
          <w:p w14:paraId="03473964">
            <w:r>
              <w:rPr>
                <w:rFonts w:hint="eastAsia"/>
              </w:rPr>
              <w:t>4.4</w:t>
            </w:r>
          </w:p>
        </w:tc>
        <w:tc>
          <w:tcPr>
            <w:tcW w:w="4442" w:type="pct"/>
          </w:tcPr>
          <w:p w14:paraId="0551118A">
            <w:r>
              <w:rPr>
                <w:rFonts w:hint="eastAsia"/>
              </w:rPr>
              <w:t>应急响应：7×24小时热线，15分钟内响应，市区1小时内到场；一般故障2小时内修复，重大故障≤6小时</w:t>
            </w:r>
          </w:p>
        </w:tc>
      </w:tr>
    </w:tbl>
    <w:p w14:paraId="482DE006">
      <w:pPr>
        <w:pStyle w:val="3"/>
        <w:numPr>
          <w:ilvl w:val="0"/>
          <w:numId w:val="3"/>
        </w:numPr>
        <w:tabs>
          <w:tab w:val="left" w:pos="721"/>
          <w:tab w:val="clear" w:pos="210"/>
        </w:tabs>
        <w:ind w:firstLine="482" w:firstLineChars="200"/>
      </w:pPr>
      <w:r>
        <w:t>资料交付</w:t>
      </w:r>
    </w:p>
    <w:p w14:paraId="417165A3">
      <w:pPr>
        <w:pStyle w:val="12"/>
        <w:ind w:firstLine="480"/>
      </w:pPr>
      <w:r>
        <w:t>供应商须随货提供产品合格证、出厂检测报告等质量证明文件。</w:t>
      </w:r>
    </w:p>
    <w:p w14:paraId="4F7006F6">
      <w:pPr>
        <w:pStyle w:val="2"/>
        <w:numPr>
          <w:ilvl w:val="0"/>
          <w:numId w:val="1"/>
        </w:numPr>
        <w:tabs>
          <w:tab w:val="left" w:pos="901"/>
        </w:tabs>
        <w:ind w:firstLine="482" w:firstLineChars="200"/>
        <w:rPr>
          <w:rFonts w:hint="eastAsia"/>
        </w:rPr>
      </w:pPr>
      <w:r>
        <w:t>商务要求</w:t>
      </w:r>
    </w:p>
    <w:p w14:paraId="0A3440B9">
      <w:pPr>
        <w:pStyle w:val="3"/>
        <w:numPr>
          <w:ilvl w:val="0"/>
          <w:numId w:val="4"/>
        </w:numPr>
        <w:tabs>
          <w:tab w:val="left" w:pos="721"/>
          <w:tab w:val="clear" w:pos="210"/>
        </w:tabs>
        <w:ind w:firstLine="482" w:firstLineChars="200"/>
      </w:pPr>
      <w:r>
        <w:t>服务地点</w:t>
      </w:r>
    </w:p>
    <w:p w14:paraId="225022A5">
      <w:pPr>
        <w:pStyle w:val="12"/>
        <w:ind w:firstLine="480"/>
      </w:pPr>
      <w:r>
        <w:t>眉山市人民医院（采购人指定地点）</w:t>
      </w:r>
    </w:p>
    <w:p w14:paraId="172ED6D0">
      <w:pPr>
        <w:pStyle w:val="3"/>
        <w:numPr>
          <w:ilvl w:val="0"/>
          <w:numId w:val="4"/>
        </w:numPr>
        <w:tabs>
          <w:tab w:val="left" w:pos="721"/>
          <w:tab w:val="clear" w:pos="210"/>
        </w:tabs>
        <w:ind w:firstLine="482" w:firstLineChars="200"/>
      </w:pPr>
      <w:r>
        <w:t>报价要求</w:t>
      </w:r>
    </w:p>
    <w:p w14:paraId="518CBB76">
      <w:pPr>
        <w:pStyle w:val="12"/>
        <w:ind w:firstLine="480"/>
      </w:pPr>
      <w:r>
        <w:rPr>
          <w:rFonts w:hint="eastAsia"/>
        </w:rPr>
        <w:t>本项目采用单价报价方式，供应商须分别报出以下两种型号蓄电池的单价（含税、含安装、含旧电池处置等一切费用）：</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6"/>
        <w:gridCol w:w="1154"/>
        <w:gridCol w:w="2113"/>
        <w:gridCol w:w="1839"/>
        <w:gridCol w:w="1854"/>
      </w:tblGrid>
      <w:tr w14:paraId="44DA6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7F8243A1">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电池型号</w:t>
            </w:r>
          </w:p>
        </w:tc>
        <w:tc>
          <w:tcPr>
            <w:tcW w:w="1204" w:type="dxa"/>
          </w:tcPr>
          <w:p w14:paraId="36966F8F">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数量</w:t>
            </w:r>
          </w:p>
        </w:tc>
        <w:tc>
          <w:tcPr>
            <w:tcW w:w="2235" w:type="dxa"/>
          </w:tcPr>
          <w:p w14:paraId="1C1DA049">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单价最高限价（元/只）</w:t>
            </w:r>
          </w:p>
        </w:tc>
        <w:tc>
          <w:tcPr>
            <w:tcW w:w="1938" w:type="dxa"/>
          </w:tcPr>
          <w:p w14:paraId="7E7AE091">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报价（元/只）</w:t>
            </w:r>
          </w:p>
        </w:tc>
        <w:tc>
          <w:tcPr>
            <w:tcW w:w="1938" w:type="dxa"/>
          </w:tcPr>
          <w:p w14:paraId="656F1B85">
            <w:pPr>
              <w:ind w:firstLine="480" w:firstLineChars="200"/>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品牌</w:t>
            </w:r>
          </w:p>
        </w:tc>
      </w:tr>
      <w:tr w14:paraId="4796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4C98CA25">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12V100AH</w:t>
            </w:r>
          </w:p>
        </w:tc>
        <w:tc>
          <w:tcPr>
            <w:tcW w:w="1204" w:type="dxa"/>
          </w:tcPr>
          <w:p w14:paraId="70858803">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168只</w:t>
            </w:r>
          </w:p>
        </w:tc>
        <w:tc>
          <w:tcPr>
            <w:tcW w:w="2235" w:type="dxa"/>
          </w:tcPr>
          <w:p w14:paraId="5AAD04C2">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995元/只</w:t>
            </w:r>
          </w:p>
        </w:tc>
        <w:tc>
          <w:tcPr>
            <w:tcW w:w="1938" w:type="dxa"/>
          </w:tcPr>
          <w:p w14:paraId="3CE9D3E5">
            <w:pPr>
              <w:rPr>
                <w:rFonts w:hint="eastAsia" w:ascii="Times New Roman" w:hAnsi="Times New Roman" w:eastAsia="宋体" w:cs="Times New Roman"/>
                <w:kern w:val="0"/>
                <w:sz w:val="24"/>
                <w:szCs w:val="20"/>
                <w:lang w:val="en-US" w:eastAsia="zh-CN" w:bidi="ar-SA"/>
              </w:rPr>
            </w:pPr>
          </w:p>
        </w:tc>
        <w:tc>
          <w:tcPr>
            <w:tcW w:w="1938" w:type="dxa"/>
          </w:tcPr>
          <w:p w14:paraId="0976C63D">
            <w:pPr>
              <w:rPr>
                <w:rFonts w:hint="eastAsia" w:ascii="Times New Roman" w:hAnsi="Times New Roman" w:eastAsia="宋体" w:cs="Times New Roman"/>
                <w:kern w:val="0"/>
                <w:sz w:val="24"/>
                <w:szCs w:val="20"/>
                <w:lang w:val="en-US" w:eastAsia="zh-CN" w:bidi="ar-SA"/>
              </w:rPr>
            </w:pPr>
          </w:p>
        </w:tc>
      </w:tr>
      <w:tr w14:paraId="11FF6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tcPr>
          <w:p w14:paraId="2CDEBA5C">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12V38AH</w:t>
            </w:r>
          </w:p>
        </w:tc>
        <w:tc>
          <w:tcPr>
            <w:tcW w:w="1204" w:type="dxa"/>
          </w:tcPr>
          <w:p w14:paraId="41FC8DD7">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32只</w:t>
            </w:r>
          </w:p>
        </w:tc>
        <w:tc>
          <w:tcPr>
            <w:tcW w:w="2235" w:type="dxa"/>
          </w:tcPr>
          <w:p w14:paraId="3C831875">
            <w:pPr>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397元/只</w:t>
            </w:r>
          </w:p>
        </w:tc>
        <w:tc>
          <w:tcPr>
            <w:tcW w:w="1938" w:type="dxa"/>
          </w:tcPr>
          <w:p w14:paraId="21A2FC15">
            <w:pPr>
              <w:rPr>
                <w:rFonts w:hint="eastAsia" w:ascii="Times New Roman" w:hAnsi="Times New Roman" w:eastAsia="宋体" w:cs="Times New Roman"/>
                <w:kern w:val="0"/>
                <w:sz w:val="24"/>
                <w:szCs w:val="20"/>
                <w:lang w:val="en-US" w:eastAsia="zh-CN" w:bidi="ar-SA"/>
              </w:rPr>
            </w:pPr>
          </w:p>
        </w:tc>
        <w:tc>
          <w:tcPr>
            <w:tcW w:w="1938" w:type="dxa"/>
          </w:tcPr>
          <w:p w14:paraId="3BA7F391">
            <w:pPr>
              <w:rPr>
                <w:rFonts w:hint="eastAsia" w:ascii="Times New Roman" w:hAnsi="Times New Roman" w:eastAsia="宋体" w:cs="Times New Roman"/>
                <w:kern w:val="0"/>
                <w:sz w:val="24"/>
                <w:szCs w:val="20"/>
                <w:lang w:val="en-US" w:eastAsia="zh-CN" w:bidi="ar-SA"/>
              </w:rPr>
            </w:pPr>
          </w:p>
        </w:tc>
      </w:tr>
      <w:tr w14:paraId="7E53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40492A98">
            <w:pPr>
              <w:pStyle w:val="12"/>
              <w:ind w:firstLine="480"/>
              <w:jc w:val="both"/>
              <w:rPr>
                <w:rFonts w:hint="eastAsia"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合计金额：小写_______大写（   ）</w:t>
            </w:r>
          </w:p>
          <w:p w14:paraId="47E1C1C3">
            <w:pPr>
              <w:pStyle w:val="12"/>
              <w:ind w:firstLine="480"/>
              <w:jc w:val="both"/>
              <w:rPr>
                <w:rFonts w:hint="default" w:ascii="Times New Roman" w:hAnsi="Times New Roman" w:eastAsia="宋体" w:cs="Times New Roman"/>
                <w:kern w:val="0"/>
                <w:sz w:val="24"/>
                <w:szCs w:val="20"/>
                <w:lang w:val="en-US" w:eastAsia="zh-CN" w:bidi="ar-SA"/>
              </w:rPr>
            </w:pPr>
            <w:r>
              <w:rPr>
                <w:rFonts w:hint="eastAsia" w:ascii="Times New Roman" w:hAnsi="Times New Roman" w:eastAsia="宋体" w:cs="Times New Roman"/>
                <w:kern w:val="0"/>
                <w:sz w:val="24"/>
                <w:szCs w:val="20"/>
                <w:lang w:val="en-US" w:eastAsia="zh-CN" w:bidi="ar-SA"/>
              </w:rPr>
              <w:t>注：合计金额为：12V100AH报价（元/只）×168只+12V38AH×32只=合计</w:t>
            </w:r>
          </w:p>
        </w:tc>
      </w:tr>
      <w:tr w14:paraId="4472A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5"/>
          </w:tcPr>
          <w:p w14:paraId="4BA37C09">
            <w:pPr>
              <w:pStyle w:val="12"/>
              <w:ind w:firstLine="0" w:firstLineChars="0"/>
              <w:jc w:val="both"/>
              <w:rPr>
                <w:rFonts w:hint="eastAsia"/>
                <w:color w:val="auto"/>
              </w:rPr>
            </w:pPr>
            <w:r>
              <w:rPr>
                <w:rFonts w:hint="eastAsia"/>
                <w:color w:val="auto"/>
              </w:rPr>
              <w:t>供应商报价不得超过单价最高限价，否则作无效响应处理。最终结算金额 = 100AH成交单价 × 100AH实际更换数量 + 38AH成交单价 × 38AH实际更换数量，且不超过18万元。</w:t>
            </w:r>
          </w:p>
        </w:tc>
      </w:tr>
    </w:tbl>
    <w:p w14:paraId="25879165">
      <w:pPr>
        <w:pStyle w:val="12"/>
        <w:ind w:firstLine="480"/>
      </w:pPr>
    </w:p>
    <w:p w14:paraId="7BEDF2FA">
      <w:pPr>
        <w:pStyle w:val="12"/>
        <w:ind w:firstLine="480"/>
      </w:pPr>
      <w:r>
        <w:t>供应商的投标报价应包括本项目实施过程中所需的人工费、材料设备费、机械费、进出场费、临时设施费、措施费、安全生产费、管理费、利润、加班费、税金及后期维护等一切费用。合同签订后，采购人对项目实施过程中除合同约定变更外的任何费用增加概不承担。</w:t>
      </w:r>
    </w:p>
    <w:p w14:paraId="2C8114E9">
      <w:pPr>
        <w:pStyle w:val="3"/>
        <w:numPr>
          <w:ilvl w:val="0"/>
          <w:numId w:val="4"/>
        </w:numPr>
        <w:tabs>
          <w:tab w:val="left" w:pos="721"/>
          <w:tab w:val="clear" w:pos="210"/>
        </w:tabs>
        <w:ind w:firstLine="482" w:firstLineChars="200"/>
      </w:pPr>
      <w:r>
        <w:t>付款进度安排</w:t>
      </w:r>
    </w:p>
    <w:p w14:paraId="2AF6690E">
      <w:pPr>
        <w:pStyle w:val="12"/>
        <w:ind w:firstLine="480"/>
      </w:pPr>
      <w:r>
        <w:t>合同签订后，①根据甲方需求完成蓄电池更换并提交相应记录验收合格后，向采购人提请付款申请并出具正规发票，经采购人审核无误后30日内支付合同费用的 95.00 %，</w:t>
      </w:r>
      <w:r>
        <w:rPr>
          <w:rFonts w:hint="eastAsia"/>
        </w:rPr>
        <w:t>（实际结算金额计算公式： 100AH成交单价 × 100AH实际更换数量 + 38AH成交单价 × 38AH实际更换数量，且累计支付总额不超过人民币18万元。）</w:t>
      </w:r>
    </w:p>
    <w:p w14:paraId="68C3DB99">
      <w:pPr>
        <w:pStyle w:val="12"/>
        <w:ind w:firstLine="480"/>
      </w:pPr>
      <w:r>
        <w:t>②剩余5%尾款从履约验收合格日起满一年后且无质量问题后支付。向采购人提请付款申请并出具正规发票，经采购人审核无误后付清尾款。</w:t>
      </w:r>
    </w:p>
    <w:p w14:paraId="1379AB88">
      <w:pPr>
        <w:pStyle w:val="3"/>
        <w:numPr>
          <w:ilvl w:val="0"/>
          <w:numId w:val="4"/>
        </w:numPr>
        <w:tabs>
          <w:tab w:val="left" w:pos="721"/>
          <w:tab w:val="clear" w:pos="210"/>
        </w:tabs>
        <w:ind w:firstLine="482" w:firstLineChars="200"/>
      </w:pPr>
      <w:r>
        <w:t>验收标准与方法</w:t>
      </w:r>
    </w:p>
    <w:p w14:paraId="3F8A3FC6">
      <w:pPr>
        <w:pStyle w:val="12"/>
        <w:numPr>
          <w:ilvl w:val="0"/>
          <w:numId w:val="5"/>
        </w:numPr>
        <w:tabs>
          <w:tab w:val="left" w:pos="900"/>
          <w:tab w:val="clear" w:pos="210"/>
        </w:tabs>
      </w:pPr>
      <w:r>
        <w:t>验收依据：按照《财政部关于进一步加强政府采购需求和履约验收管理的指导意见》（财库〔2016〕205号）及《政府采购需求管理办法》（财库〔2021〕22号）的要求进行验收。</w:t>
      </w:r>
    </w:p>
    <w:p w14:paraId="6215F57F">
      <w:pPr>
        <w:pStyle w:val="12"/>
        <w:numPr>
          <w:ilvl w:val="0"/>
          <w:numId w:val="5"/>
        </w:numPr>
        <w:tabs>
          <w:tab w:val="left" w:pos="900"/>
          <w:tab w:val="clear" w:pos="210"/>
        </w:tabs>
      </w:pPr>
      <w:r>
        <w:t>电池更换前验收：供应商在更换每只新电池前，须在现场采购人代表见证下，使用专业设备检测电压、内阻并记录，检测结果应符合产品出厂技术规范要求。供应商须提供所供电池型号的有效泰尔认证证书复印件（加盖公章）。</w:t>
      </w:r>
    </w:p>
    <w:p w14:paraId="4189E65B">
      <w:pPr>
        <w:pStyle w:val="12"/>
        <w:numPr>
          <w:ilvl w:val="0"/>
          <w:numId w:val="5"/>
        </w:numPr>
        <w:tabs>
          <w:tab w:val="left" w:pos="900"/>
          <w:tab w:val="clear" w:pos="210"/>
        </w:tabs>
      </w:pPr>
      <w:r>
        <w:t>系统切换验收：全部电池更换、接线、调试完成后，供应商须完成UPS供电方式“市电→电池→市电”现场切换测试，切换过程应保障后端负载不中断，测试结果须经采购人确认。</w:t>
      </w:r>
    </w:p>
    <w:p w14:paraId="74F77A0C">
      <w:pPr>
        <w:pStyle w:val="12"/>
        <w:numPr>
          <w:ilvl w:val="0"/>
          <w:numId w:val="5"/>
        </w:numPr>
        <w:tabs>
          <w:tab w:val="left" w:pos="900"/>
          <w:tab w:val="clear" w:pos="210"/>
        </w:tabs>
      </w:pPr>
      <w:r>
        <w:t>试运行验收：完成切换测试后，系统进入72小时试运行期。试运行期间无故障报警，蓄电池组各项指标（浮充电压、环境温度等）稳定。试运行期满后，供应商须提交《内阻测试报告》及《系统试运行报告》。</w:t>
      </w:r>
    </w:p>
    <w:p w14:paraId="177340E5">
      <w:pPr>
        <w:pStyle w:val="12"/>
        <w:numPr>
          <w:ilvl w:val="0"/>
          <w:numId w:val="5"/>
        </w:numPr>
        <w:tabs>
          <w:tab w:val="left" w:pos="900"/>
          <w:tab w:val="clear" w:pos="210"/>
        </w:tabs>
      </w:pPr>
      <w:r>
        <w:t>最终验收：采购人收到上述报告并确认试运行合格后，5个工作日内组织双方签署《最终验收合格单》，该验收单的签署视为本项目通过最终验收，并作为支付第一期货款的依据。</w:t>
      </w:r>
    </w:p>
    <w:p w14:paraId="1657B65B">
      <w:pPr>
        <w:pStyle w:val="3"/>
        <w:numPr>
          <w:ilvl w:val="0"/>
          <w:numId w:val="4"/>
        </w:numPr>
        <w:tabs>
          <w:tab w:val="left" w:pos="721"/>
          <w:tab w:val="clear" w:pos="210"/>
        </w:tabs>
        <w:ind w:firstLine="482" w:firstLineChars="200"/>
      </w:pPr>
      <w:r>
        <w:t>质量要求</w:t>
      </w:r>
    </w:p>
    <w:p w14:paraId="6B03723E">
      <w:pPr>
        <w:pStyle w:val="12"/>
        <w:numPr>
          <w:ilvl w:val="0"/>
          <w:numId w:val="6"/>
        </w:numPr>
        <w:tabs>
          <w:tab w:val="left" w:pos="900"/>
          <w:tab w:val="clear" w:pos="210"/>
        </w:tabs>
      </w:pPr>
      <w:r>
        <w:t>本项目所涉及硬件设备须为全新货物（含零部件、配件等），表面无划伤、无碰撞痕迹，权属清楚，不得侵害他人知识产权。</w:t>
      </w:r>
    </w:p>
    <w:p w14:paraId="40AB2F5E">
      <w:pPr>
        <w:pStyle w:val="12"/>
        <w:numPr>
          <w:ilvl w:val="0"/>
          <w:numId w:val="6"/>
        </w:numPr>
        <w:tabs>
          <w:tab w:val="left" w:pos="900"/>
          <w:tab w:val="clear" w:pos="210"/>
        </w:tabs>
      </w:pPr>
      <w:r>
        <w:t>货物须符合或优于国家（行业）标准、采购文件质量要求和技术指标及出厂标准。</w:t>
      </w:r>
    </w:p>
    <w:p w14:paraId="7B8A6CCB">
      <w:pPr>
        <w:pStyle w:val="12"/>
        <w:numPr>
          <w:ilvl w:val="0"/>
          <w:numId w:val="6"/>
        </w:numPr>
        <w:tabs>
          <w:tab w:val="left" w:pos="900"/>
          <w:tab w:val="clear" w:pos="210"/>
        </w:tabs>
      </w:pPr>
      <w:r>
        <w:t>应有产品质量检验合格标志的货物均须附有合格标志。</w:t>
      </w:r>
    </w:p>
    <w:p w14:paraId="786AE1EE">
      <w:pPr>
        <w:pStyle w:val="2"/>
        <w:numPr>
          <w:ilvl w:val="0"/>
          <w:numId w:val="1"/>
        </w:numPr>
        <w:tabs>
          <w:tab w:val="left" w:pos="901"/>
        </w:tabs>
        <w:ind w:firstLine="482" w:firstLineChars="200"/>
        <w:rPr>
          <w:rFonts w:hint="eastAsia"/>
        </w:rPr>
      </w:pPr>
      <w:r>
        <w:t>旧电池处置</w:t>
      </w:r>
    </w:p>
    <w:p w14:paraId="5092248D">
      <w:pPr>
        <w:pStyle w:val="12"/>
        <w:numPr>
          <w:ilvl w:val="0"/>
          <w:numId w:val="7"/>
        </w:numPr>
        <w:tabs>
          <w:tab w:val="left" w:pos="780"/>
          <w:tab w:val="clear" w:pos="210"/>
        </w:tabs>
      </w:pPr>
      <w:r>
        <w:t>本次更换的200只废旧蓄电池中，96只（100AH）为医院国有报废资产，产权归医院所有，由医院按国有资产管理规定处置。</w:t>
      </w:r>
    </w:p>
    <w:p w14:paraId="5352E7BF">
      <w:pPr>
        <w:pStyle w:val="12"/>
        <w:numPr>
          <w:ilvl w:val="0"/>
          <w:numId w:val="7"/>
        </w:numPr>
        <w:tabs>
          <w:tab w:val="left" w:pos="780"/>
          <w:tab w:val="clear" w:pos="210"/>
        </w:tabs>
        <w:rPr>
          <w:color w:val="auto"/>
        </w:rPr>
      </w:pPr>
      <w:r>
        <w:rPr>
          <w:color w:val="auto"/>
        </w:rPr>
        <w:t>其余104只（72只100AH + 32只38AH），</w:t>
      </w:r>
      <w:r>
        <w:rPr>
          <w:rFonts w:hint="eastAsia"/>
          <w:color w:val="auto"/>
        </w:rPr>
        <w:t>经双方现场清点确认并签署《废旧蓄电池交接确认单》后，产权移交供应商所有</w:t>
      </w:r>
      <w:r>
        <w:rPr>
          <w:color w:val="auto"/>
        </w:rPr>
        <w:t>，由供应商负责按国家危险废物管理规定处置。供应商须在评选文件中提供其与具备有效《危险废物经营许可证》（经营类别须包含废铅酸蓄电池，代码HW31 900-052-31）的回收单位签订的合作协议或授权书，并提供该回收单位的《危险废物经营许可证》复印件（加盖双方公章）。</w:t>
      </w:r>
    </w:p>
    <w:p w14:paraId="6BADB9BF">
      <w:pPr>
        <w:pStyle w:val="12"/>
        <w:numPr>
          <w:ilvl w:val="0"/>
          <w:numId w:val="7"/>
        </w:numPr>
        <w:tabs>
          <w:tab w:val="left" w:pos="780"/>
          <w:tab w:val="clear" w:pos="210"/>
        </w:tabs>
      </w:pPr>
      <w:r>
        <w:t>供应商须承诺：在合同签订后、更换作业前，提供与上述资质单位签订的正式回收处置合同。电池更换完成后，供应商须在15个工作日内向采购人提供由资质单位出具的《危险废物转移联单》等合法处置证明文件。无法提供的，采购人有权拒绝支付尾款，并向生态环境主管部门报告。</w:t>
      </w:r>
    </w:p>
    <w:p w14:paraId="6B369C77">
      <w:pPr>
        <w:pStyle w:val="2"/>
        <w:numPr>
          <w:ilvl w:val="0"/>
          <w:numId w:val="1"/>
        </w:numPr>
        <w:tabs>
          <w:tab w:val="left" w:pos="901"/>
        </w:tabs>
        <w:ind w:firstLine="482" w:firstLineChars="200"/>
        <w:rPr>
          <w:rFonts w:hint="eastAsia"/>
        </w:rPr>
      </w:pPr>
      <w:r>
        <w:t>其他要求</w:t>
      </w:r>
    </w:p>
    <w:p w14:paraId="7EA399F5">
      <w:pPr>
        <w:pStyle w:val="12"/>
        <w:numPr>
          <w:ilvl w:val="0"/>
          <w:numId w:val="8"/>
        </w:numPr>
        <w:tabs>
          <w:tab w:val="left" w:pos="780"/>
          <w:tab w:val="clear" w:pos="210"/>
        </w:tabs>
      </w:pPr>
      <w:r>
        <w:t>服务人员须严格遵守行业标准、专业技术标准及采购人机房管理制度，在维修现场做到礼貌、文明、规范。</w:t>
      </w:r>
    </w:p>
    <w:p w14:paraId="1158D0F7">
      <w:pPr>
        <w:pStyle w:val="12"/>
        <w:numPr>
          <w:ilvl w:val="0"/>
          <w:numId w:val="8"/>
        </w:numPr>
        <w:tabs>
          <w:tab w:val="left" w:pos="780"/>
          <w:tab w:val="clear" w:pos="210"/>
        </w:tabs>
      </w:pPr>
      <w:r>
        <w:t>服务人员须严格执行安全操作规程。因服务人员操作失误或疏忽大意造成设备损坏或人身伤害的，由供应商承担全部责任。</w:t>
      </w:r>
    </w:p>
    <w:p w14:paraId="3F52CD7C">
      <w:pPr>
        <w:pStyle w:val="12"/>
        <w:numPr>
          <w:ilvl w:val="0"/>
          <w:numId w:val="8"/>
        </w:numPr>
        <w:tabs>
          <w:tab w:val="left" w:pos="780"/>
          <w:tab w:val="clear" w:pos="210"/>
        </w:tabs>
      </w:pPr>
      <w:r>
        <w:t>供应商须保持施工现场清洁卫生，符合采购人机房管理规定。</w:t>
      </w:r>
    </w:p>
    <w:p w14:paraId="49C983F7">
      <w:pPr>
        <w:pStyle w:val="2"/>
        <w:numPr>
          <w:ilvl w:val="0"/>
          <w:numId w:val="1"/>
        </w:numPr>
        <w:tabs>
          <w:tab w:val="left" w:pos="901"/>
        </w:tabs>
        <w:ind w:firstLine="482" w:firstLineChars="200"/>
        <w:rPr>
          <w:rFonts w:hint="eastAsia"/>
        </w:rPr>
      </w:pPr>
      <w:r>
        <w:t>违约责任</w:t>
      </w:r>
    </w:p>
    <w:p w14:paraId="30F8BDE6">
      <w:pPr>
        <w:pStyle w:val="3"/>
        <w:numPr>
          <w:ilvl w:val="0"/>
          <w:numId w:val="9"/>
        </w:numPr>
        <w:tabs>
          <w:tab w:val="left" w:pos="721"/>
          <w:tab w:val="clear" w:pos="210"/>
        </w:tabs>
        <w:ind w:firstLine="482" w:firstLineChars="200"/>
      </w:pPr>
      <w:r>
        <w:t>工期延误违约责任</w:t>
      </w:r>
    </w:p>
    <w:p w14:paraId="26609F52">
      <w:pPr>
        <w:pStyle w:val="12"/>
        <w:ind w:firstLine="480"/>
      </w:pPr>
      <w:r>
        <w:t>除采购人原因或不可抗力外，供应商未能在合同约定的供货时限内完成全部工作的，每逾期一日，供应商应向采购人支付</w:t>
      </w:r>
      <w:r>
        <w:rPr>
          <w:rFonts w:hint="eastAsia"/>
        </w:rPr>
        <w:t>合同实际结算总金额</w:t>
      </w:r>
      <w:r>
        <w:t>千分之二（0.2%） 的违约金。逾期超过10日的，采购人有权单方解除合同，并要求供应商支付</w:t>
      </w:r>
      <w:r>
        <w:rPr>
          <w:rFonts w:hint="eastAsia"/>
        </w:rPr>
        <w:t>合同实际结算总金额</w:t>
      </w:r>
      <w:r>
        <w:t>百分之五（5%） 的违约金。</w:t>
      </w:r>
    </w:p>
    <w:p w14:paraId="7CE6EAF7">
      <w:pPr>
        <w:pStyle w:val="3"/>
        <w:numPr>
          <w:ilvl w:val="0"/>
          <w:numId w:val="9"/>
        </w:numPr>
        <w:tabs>
          <w:tab w:val="left" w:pos="721"/>
          <w:tab w:val="clear" w:pos="210"/>
        </w:tabs>
        <w:ind w:firstLine="482" w:firstLineChars="200"/>
      </w:pPr>
      <w:r>
        <w:t>质量违约责任</w:t>
      </w:r>
    </w:p>
    <w:p w14:paraId="6076CC24">
      <w:pPr>
        <w:pStyle w:val="12"/>
        <w:ind w:firstLine="480"/>
      </w:pPr>
      <w:r>
        <w:t>若供应商提供的电池非全新原装正品，或经第三方检测不满足采购文件技术参数要求，采购人有权要求供应商在5个工作日内无条件更换，并承担由此产生的一切费用。若供应商拒绝更换或更换后仍不合格，采购人有权解除合同，并要求供应商支付</w:t>
      </w:r>
      <w:r>
        <w:rPr>
          <w:rFonts w:hint="eastAsia"/>
        </w:rPr>
        <w:t>合同实际结算总金额</w:t>
      </w:r>
      <w:r>
        <w:t>百分之十（10%） 的违约金。</w:t>
      </w:r>
    </w:p>
    <w:p w14:paraId="219DE12B">
      <w:pPr>
        <w:pStyle w:val="3"/>
        <w:numPr>
          <w:ilvl w:val="0"/>
          <w:numId w:val="9"/>
        </w:numPr>
        <w:tabs>
          <w:tab w:val="left" w:pos="721"/>
          <w:tab w:val="clear" w:pos="210"/>
        </w:tabs>
        <w:ind w:firstLine="482" w:firstLineChars="200"/>
      </w:pPr>
      <w:r>
        <w:t>质保与售后违约责任</w:t>
      </w:r>
    </w:p>
    <w:p w14:paraId="6A79F1CA">
      <w:pPr>
        <w:pStyle w:val="12"/>
        <w:ind w:firstLine="480"/>
      </w:pPr>
      <w:r>
        <w:t>供应商未在约定时间内（≤3个工作日）到场更换故障电池的，每发生一次，应向采购人支付500元违约金，并仍需履行更换义务。一个年度内累计发生3次的，采购人有权要求供应商支付</w:t>
      </w:r>
      <w:r>
        <w:rPr>
          <w:rFonts w:hint="eastAsia"/>
        </w:rPr>
        <w:t>合同实际结算总金额</w:t>
      </w:r>
      <w:r>
        <w:t>5% 的违约金。</w:t>
      </w:r>
    </w:p>
    <w:p w14:paraId="3B245B08">
      <w:pPr>
        <w:pStyle w:val="3"/>
        <w:numPr>
          <w:ilvl w:val="0"/>
          <w:numId w:val="9"/>
        </w:numPr>
        <w:tabs>
          <w:tab w:val="left" w:pos="721"/>
          <w:tab w:val="clear" w:pos="210"/>
        </w:tabs>
        <w:ind w:firstLine="482" w:firstLineChars="200"/>
      </w:pPr>
      <w:r>
        <w:t>应急响应违约责任</w:t>
      </w:r>
    </w:p>
    <w:p w14:paraId="214F8D6A">
      <w:pPr>
        <w:pStyle w:val="12"/>
        <w:ind w:firstLine="480"/>
      </w:pPr>
      <w:r>
        <w:t>供应商未能在约定时间内响应应急维修的（15分钟内响应，市区1小时内到场），每发生一次，应向采购人支付300元违约金。</w:t>
      </w:r>
    </w:p>
    <w:p w14:paraId="7B97D12E">
      <w:pPr>
        <w:pStyle w:val="3"/>
        <w:numPr>
          <w:ilvl w:val="0"/>
          <w:numId w:val="9"/>
        </w:numPr>
        <w:tabs>
          <w:tab w:val="left" w:pos="721"/>
          <w:tab w:val="clear" w:pos="210"/>
        </w:tabs>
        <w:ind w:firstLine="482" w:firstLineChars="200"/>
      </w:pPr>
      <w:r>
        <w:t>违约扣款</w:t>
      </w:r>
    </w:p>
    <w:p w14:paraId="1E6570D4">
      <w:pPr>
        <w:pStyle w:val="12"/>
        <w:ind w:firstLine="480"/>
      </w:pPr>
      <w:r>
        <w:t>采购人有权从应付货款或尾款中直接扣除上述违约金。</w:t>
      </w:r>
    </w:p>
    <w:p w14:paraId="3A368F22">
      <w:pPr>
        <w:pStyle w:val="3"/>
        <w:numPr>
          <w:ilvl w:val="0"/>
          <w:numId w:val="9"/>
        </w:numPr>
        <w:tabs>
          <w:tab w:val="left" w:pos="721"/>
          <w:tab w:val="clear" w:pos="210"/>
        </w:tabs>
        <w:ind w:firstLine="482" w:firstLineChars="200"/>
      </w:pPr>
      <w:r>
        <w:t>合同解除</w:t>
      </w:r>
    </w:p>
    <w:p w14:paraId="23C61D80">
      <w:pPr>
        <w:pStyle w:val="12"/>
        <w:ind w:firstLine="480"/>
      </w:pPr>
      <w:r>
        <w:t>一方发生上述根本违约行为，或违反第八条“保密条款”的，另一方有权单方解除合同，并要求违约方赔偿全部损失。</w:t>
      </w:r>
    </w:p>
    <w:p w14:paraId="0A9FD06B">
      <w:pPr>
        <w:pStyle w:val="3"/>
        <w:numPr>
          <w:ilvl w:val="0"/>
          <w:numId w:val="9"/>
        </w:numPr>
        <w:tabs>
          <w:tab w:val="left" w:pos="721"/>
          <w:tab w:val="clear" w:pos="210"/>
        </w:tabs>
        <w:ind w:firstLine="482" w:firstLineChars="200"/>
      </w:pPr>
      <w:r>
        <w:t>采购人逾期付款责任</w:t>
      </w:r>
    </w:p>
    <w:p w14:paraId="1E448BA1">
      <w:pPr>
        <w:pStyle w:val="12"/>
        <w:ind w:firstLine="480"/>
      </w:pPr>
      <w:r>
        <w:t>采购人逾期支付款项的，应按逾期支付金额的每日万分之五向供应商支付违约金。</w:t>
      </w:r>
    </w:p>
    <w:p w14:paraId="3E22DF0E">
      <w:pPr>
        <w:pStyle w:val="2"/>
        <w:numPr>
          <w:ilvl w:val="0"/>
          <w:numId w:val="1"/>
        </w:numPr>
        <w:tabs>
          <w:tab w:val="left" w:pos="901"/>
        </w:tabs>
        <w:ind w:firstLine="482" w:firstLineChars="200"/>
        <w:rPr>
          <w:rFonts w:hint="eastAsia"/>
        </w:rPr>
      </w:pPr>
      <w:r>
        <w:t>知识产权及保密条款</w:t>
      </w:r>
    </w:p>
    <w:p w14:paraId="6B8E3402">
      <w:pPr>
        <w:pStyle w:val="3"/>
        <w:numPr>
          <w:ilvl w:val="0"/>
          <w:numId w:val="10"/>
        </w:numPr>
        <w:tabs>
          <w:tab w:val="left" w:pos="721"/>
          <w:tab w:val="clear" w:pos="210"/>
        </w:tabs>
        <w:ind w:firstLine="482" w:firstLineChars="200"/>
      </w:pPr>
      <w:r>
        <w:t>知识产权</w:t>
      </w:r>
    </w:p>
    <w:p w14:paraId="5332E28F">
      <w:pPr>
        <w:pStyle w:val="12"/>
        <w:numPr>
          <w:ilvl w:val="0"/>
          <w:numId w:val="11"/>
        </w:numPr>
        <w:tabs>
          <w:tab w:val="left" w:pos="900"/>
          <w:tab w:val="clear" w:pos="210"/>
        </w:tabs>
      </w:pPr>
      <w:r>
        <w:t>供应商保证其提供的蓄电池产品、安装服务及相关技术（包括施工方案、调试方法）不侵犯任何第三方知识产权。如因此产生任何第三方索赔，由供应商承担全部责任，并赔偿采购人因此遭受的全部损失。</w:t>
      </w:r>
    </w:p>
    <w:p w14:paraId="7963E6F2">
      <w:pPr>
        <w:pStyle w:val="12"/>
        <w:numPr>
          <w:ilvl w:val="0"/>
          <w:numId w:val="11"/>
        </w:numPr>
        <w:tabs>
          <w:tab w:val="left" w:pos="900"/>
          <w:tab w:val="clear" w:pos="210"/>
        </w:tabs>
      </w:pPr>
      <w:r>
        <w:t>在本项目履行过程中，由采购人向供应商提供的、与本项目相关的图纸、技术规范、操作手册及其他技术资料，其知识产权仍归属于采购人。供应商仅可为履行本合同之目的使用，不得用于任何其他用途。</w:t>
      </w:r>
    </w:p>
    <w:p w14:paraId="668361B3">
      <w:pPr>
        <w:pStyle w:val="12"/>
        <w:numPr>
          <w:ilvl w:val="0"/>
          <w:numId w:val="11"/>
        </w:numPr>
        <w:tabs>
          <w:tab w:val="left" w:pos="900"/>
          <w:tab w:val="clear" w:pos="210"/>
        </w:tabs>
      </w:pPr>
      <w:r>
        <w:t>供应商在履行本合同过程中产生的、与本项目安装、调试、检测直接相关的过程性文件（如内阻测试报告、施工记录等），采购人有权为维护、使用本次采购的蓄电池系统之目的进行复制、存档和使用。除上述目的外，未经供应商书面同意，采购人不得将该等文件用于商业目的或提供给与本项目无关的第三方。</w:t>
      </w:r>
    </w:p>
    <w:p w14:paraId="0E1BE515">
      <w:pPr>
        <w:pStyle w:val="3"/>
        <w:numPr>
          <w:ilvl w:val="0"/>
          <w:numId w:val="10"/>
        </w:numPr>
        <w:tabs>
          <w:tab w:val="left" w:pos="721"/>
          <w:tab w:val="clear" w:pos="210"/>
        </w:tabs>
        <w:ind w:firstLine="482" w:firstLineChars="200"/>
      </w:pPr>
      <w:r>
        <w:t>保密义务</w:t>
      </w:r>
    </w:p>
    <w:p w14:paraId="7AD00D30">
      <w:pPr>
        <w:pStyle w:val="12"/>
        <w:numPr>
          <w:ilvl w:val="0"/>
          <w:numId w:val="12"/>
        </w:numPr>
        <w:tabs>
          <w:tab w:val="left" w:pos="900"/>
          <w:tab w:val="clear" w:pos="210"/>
        </w:tabs>
      </w:pPr>
      <w:r>
        <w:t>保密信息定义：本条款所指保密信息，是指采购人向供应商披露的、未公开的、与本项目相关的技术或商业信息，包括但不限于：医院机房布局、网络拓扑、设备清单、未公开技术参数、内部管理制度、项目报价、合同内容及任何标注为“保密”的文件。</w:t>
      </w:r>
    </w:p>
    <w:p w14:paraId="61928CD6">
      <w:pPr>
        <w:pStyle w:val="12"/>
        <w:numPr>
          <w:ilvl w:val="0"/>
          <w:numId w:val="12"/>
        </w:numPr>
        <w:tabs>
          <w:tab w:val="left" w:pos="900"/>
          <w:tab w:val="clear" w:pos="210"/>
        </w:tabs>
      </w:pPr>
      <w:r>
        <w:t>保密义务：供应商应对其知悉的上述保密信息承担保密义务，不得向任何第三方泄露、传播、复制，亦不得用于履行本合同之外的任何目的。</w:t>
      </w:r>
    </w:p>
    <w:p w14:paraId="38EEE39D">
      <w:pPr>
        <w:pStyle w:val="12"/>
        <w:numPr>
          <w:ilvl w:val="0"/>
          <w:numId w:val="12"/>
        </w:numPr>
        <w:tabs>
          <w:tab w:val="left" w:pos="900"/>
          <w:tab w:val="clear" w:pos="210"/>
        </w:tabs>
      </w:pPr>
      <w:r>
        <w:t>保密期限：本保密义务自本合同生效之日起，至合同终止或解除后三年止。对于法律要求必须永久保密的采购人核心机密，按法律规定执行。</w:t>
      </w:r>
    </w:p>
    <w:p w14:paraId="14F44ED6">
      <w:pPr>
        <w:pStyle w:val="12"/>
        <w:numPr>
          <w:ilvl w:val="0"/>
          <w:numId w:val="12"/>
        </w:numPr>
        <w:tabs>
          <w:tab w:val="left" w:pos="900"/>
          <w:tab w:val="clear" w:pos="210"/>
        </w:tabs>
      </w:pPr>
      <w:r>
        <w:t>例外情况：供应商的保密义务不适用于以下信息：</w:t>
      </w:r>
    </w:p>
    <w:p w14:paraId="3B259CAE">
      <w:pPr>
        <w:pStyle w:val="12"/>
        <w:numPr>
          <w:ilvl w:val="0"/>
          <w:numId w:val="13"/>
        </w:numPr>
        <w:tabs>
          <w:tab w:val="left" w:pos="866"/>
          <w:tab w:val="clear" w:pos="210"/>
        </w:tabs>
      </w:pPr>
      <w:r>
        <w:t>已为公众所知悉的信息；</w:t>
      </w:r>
    </w:p>
    <w:p w14:paraId="591778B1">
      <w:pPr>
        <w:pStyle w:val="12"/>
        <w:numPr>
          <w:ilvl w:val="0"/>
          <w:numId w:val="13"/>
        </w:numPr>
        <w:tabs>
          <w:tab w:val="left" w:pos="866"/>
          <w:tab w:val="clear" w:pos="210"/>
        </w:tabs>
      </w:pPr>
      <w:r>
        <w:t>供应商在采购人披露前已合法持有且无保密义务的信息；</w:t>
      </w:r>
    </w:p>
    <w:p w14:paraId="4BE8FE68">
      <w:pPr>
        <w:pStyle w:val="12"/>
        <w:numPr>
          <w:ilvl w:val="0"/>
          <w:numId w:val="13"/>
        </w:numPr>
        <w:tabs>
          <w:tab w:val="left" w:pos="866"/>
          <w:tab w:val="clear" w:pos="210"/>
        </w:tabs>
      </w:pPr>
      <w:r>
        <w:t>从有权披露的第三方合法获取的信息；</w:t>
      </w:r>
    </w:p>
    <w:p w14:paraId="06C23760">
      <w:pPr>
        <w:pStyle w:val="12"/>
        <w:numPr>
          <w:ilvl w:val="0"/>
          <w:numId w:val="13"/>
        </w:numPr>
        <w:tabs>
          <w:tab w:val="left" w:pos="866"/>
          <w:tab w:val="clear" w:pos="210"/>
        </w:tabs>
      </w:pPr>
      <w:r>
        <w:t>根据法律法规或司法机关、行政机关要求必须披露的信息（应在披露前通知采购人，并仅在最小必要范围内披露）。</w:t>
      </w:r>
    </w:p>
    <w:p w14:paraId="7535266F">
      <w:pPr>
        <w:pStyle w:val="12"/>
        <w:numPr>
          <w:ilvl w:val="0"/>
          <w:numId w:val="12"/>
        </w:numPr>
        <w:tabs>
          <w:tab w:val="left" w:pos="900"/>
          <w:tab w:val="clear" w:pos="210"/>
        </w:tabs>
      </w:pPr>
      <w:r>
        <w:t>违约责任：若供应商违反本条保密义务，应立即采取补救措施防止损失扩大，并向采购人支付</w:t>
      </w:r>
      <w:r>
        <w:rPr>
          <w:rFonts w:hint="eastAsia"/>
        </w:rPr>
        <w:t>合同实际结算总金额</w:t>
      </w:r>
      <w:r>
        <w:t>10% 的违约金。若违约金不足以弥补采购人实际损失（包括调查费、律师费、声誉损失等），采购人有权要求供应商赔偿差额部分。情节严重的，采购人有权单方解除合同。</w:t>
      </w:r>
    </w:p>
    <w:p w14:paraId="6D7E3DCE">
      <w:pPr>
        <w:pStyle w:val="2"/>
        <w:numPr>
          <w:ilvl w:val="0"/>
          <w:numId w:val="1"/>
        </w:numPr>
        <w:tabs>
          <w:tab w:val="left" w:pos="901"/>
        </w:tabs>
        <w:ind w:firstLine="482" w:firstLineChars="200"/>
        <w:rPr>
          <w:rFonts w:hint="eastAsia"/>
        </w:rPr>
      </w:pPr>
      <w:r>
        <w:t>现场考察</w:t>
      </w:r>
    </w:p>
    <w:p w14:paraId="254B88F0">
      <w:pPr>
        <w:pStyle w:val="12"/>
        <w:ind w:firstLine="480"/>
      </w:pPr>
      <w:r>
        <w:t>采购人组织潜在供应商进行现场考察，具体安排如下：</w:t>
      </w:r>
    </w:p>
    <w:p w14:paraId="406A0123">
      <w:pPr>
        <w:pStyle w:val="12"/>
        <w:ind w:firstLine="480"/>
      </w:pPr>
      <w:r>
        <w:t>时间： 采购公告发布后第3个工作日，上午10:00</w:t>
      </w:r>
    </w:p>
    <w:p w14:paraId="46BCD361">
      <w:pPr>
        <w:pStyle w:val="12"/>
        <w:ind w:firstLine="480"/>
      </w:pPr>
      <w:r>
        <w:t>地点： 眉山市人民医院东坡院区行政楼前集合</w:t>
      </w:r>
    </w:p>
    <w:p w14:paraId="5DDDFB1F">
      <w:pPr>
        <w:pStyle w:val="12"/>
        <w:ind w:firstLine="480"/>
      </w:pPr>
      <w:r>
        <w:t>联系人：陈老师  17360666971</w:t>
      </w:r>
    </w:p>
    <w:p w14:paraId="2D550A8B">
      <w:pPr>
        <w:pStyle w:val="12"/>
        <w:ind w:firstLine="480"/>
      </w:pPr>
      <w:r>
        <w:t>内容： 各机房UPS设备现状、安装环境等</w:t>
      </w:r>
    </w:p>
    <w:p w14:paraId="6F9B4711">
      <w:pPr>
        <w:pStyle w:val="2"/>
        <w:numPr>
          <w:ilvl w:val="0"/>
          <w:numId w:val="1"/>
        </w:numPr>
        <w:tabs>
          <w:tab w:val="left" w:pos="901"/>
        </w:tabs>
        <w:ind w:firstLine="482" w:firstLineChars="200"/>
        <w:rPr>
          <w:rFonts w:hint="eastAsia"/>
        </w:rPr>
      </w:pPr>
      <w:r>
        <w:t>解决争议的方法</w:t>
      </w:r>
    </w:p>
    <w:p w14:paraId="3B02B2B9">
      <w:pPr>
        <w:pStyle w:val="12"/>
        <w:ind w:firstLine="480"/>
        <w:sectPr>
          <w:pgSz w:w="11906" w:h="16838"/>
          <w:pgMar w:top="1440" w:right="1800" w:bottom="1440" w:left="1800" w:header="851" w:footer="992" w:gutter="0"/>
          <w:cols w:space="425" w:num="1"/>
          <w:docGrid w:type="lines" w:linePitch="312" w:charSpace="0"/>
        </w:sectPr>
      </w:pPr>
      <w:r>
        <w:t>因本合同引起的或与本合同有关的任何争议，双方应首先通过友好协商解决；协商不成的，任何一方均有权向采购人所在地有管辖权的人民法院提起诉讼。</w:t>
      </w:r>
    </w:p>
    <w:p w14:paraId="0AAD241A">
      <w:pPr>
        <w:pStyle w:val="12"/>
        <w:ind w:firstLine="0" w:firstLineChars="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DE432"/>
    <w:multiLevelType w:val="singleLevel"/>
    <w:tmpl w:val="AC8DE432"/>
    <w:lvl w:ilvl="0" w:tentative="0">
      <w:start w:val="1"/>
      <w:numFmt w:val="decimal"/>
      <w:lvlText w:val="%1."/>
      <w:lvlJc w:val="left"/>
      <w:pPr>
        <w:tabs>
          <w:tab w:val="left" w:pos="210"/>
        </w:tabs>
        <w:ind w:left="0" w:firstLine="0"/>
      </w:pPr>
      <w:rPr>
        <w:rFonts w:hint="default"/>
      </w:rPr>
    </w:lvl>
  </w:abstractNum>
  <w:abstractNum w:abstractNumId="1">
    <w:nsid w:val="CB4EAE50"/>
    <w:multiLevelType w:val="singleLevel"/>
    <w:tmpl w:val="CB4EAE50"/>
    <w:lvl w:ilvl="0" w:tentative="0">
      <w:start w:val="1"/>
      <w:numFmt w:val="decimal"/>
      <w:lvlText w:val="%1."/>
      <w:lvlJc w:val="left"/>
      <w:pPr>
        <w:tabs>
          <w:tab w:val="left" w:pos="210"/>
        </w:tabs>
        <w:ind w:firstLine="0"/>
      </w:pPr>
    </w:lvl>
  </w:abstractNum>
  <w:abstractNum w:abstractNumId="2">
    <w:nsid w:val="CE4DA532"/>
    <w:multiLevelType w:val="singleLevel"/>
    <w:tmpl w:val="CE4DA532"/>
    <w:lvl w:ilvl="0" w:tentative="0">
      <w:start w:val="1"/>
      <w:numFmt w:val="decimal"/>
      <w:lvlText w:val="%1."/>
      <w:lvlJc w:val="left"/>
      <w:pPr>
        <w:tabs>
          <w:tab w:val="left" w:pos="210"/>
        </w:tabs>
        <w:ind w:left="0" w:firstLine="0"/>
      </w:pPr>
      <w:rPr>
        <w:rFonts w:hint="default"/>
      </w:rPr>
    </w:lvl>
  </w:abstractNum>
  <w:abstractNum w:abstractNumId="3">
    <w:nsid w:val="D4CB1C8E"/>
    <w:multiLevelType w:val="singleLevel"/>
    <w:tmpl w:val="D4CB1C8E"/>
    <w:lvl w:ilvl="0" w:tentative="0">
      <w:start w:val="1"/>
      <w:numFmt w:val="decimal"/>
      <w:lvlText w:val="%1."/>
      <w:lvlJc w:val="left"/>
      <w:pPr>
        <w:tabs>
          <w:tab w:val="left" w:pos="210"/>
        </w:tabs>
        <w:ind w:left="0" w:firstLine="480"/>
      </w:pPr>
      <w:rPr>
        <w:rFonts w:hint="default"/>
      </w:rPr>
    </w:lvl>
  </w:abstractNum>
  <w:abstractNum w:abstractNumId="4">
    <w:nsid w:val="F4BF88A5"/>
    <w:multiLevelType w:val="singleLevel"/>
    <w:tmpl w:val="F4BF88A5"/>
    <w:lvl w:ilvl="0" w:tentative="0">
      <w:start w:val="1"/>
      <w:numFmt w:val="lowerLetter"/>
      <w:lvlText w:val="(%1)"/>
      <w:lvlJc w:val="left"/>
      <w:pPr>
        <w:tabs>
          <w:tab w:val="left" w:pos="210"/>
        </w:tabs>
        <w:ind w:left="0" w:firstLine="480"/>
      </w:pPr>
      <w:rPr>
        <w:rFonts w:hint="default"/>
      </w:rPr>
    </w:lvl>
  </w:abstractNum>
  <w:abstractNum w:abstractNumId="5">
    <w:nsid w:val="09C17BF0"/>
    <w:multiLevelType w:val="singleLevel"/>
    <w:tmpl w:val="09C17BF0"/>
    <w:lvl w:ilvl="0" w:tentative="0">
      <w:start w:val="1"/>
      <w:numFmt w:val="decimal"/>
      <w:lvlText w:val="%1."/>
      <w:lvlJc w:val="left"/>
      <w:pPr>
        <w:tabs>
          <w:tab w:val="left" w:pos="210"/>
        </w:tabs>
        <w:ind w:firstLine="0"/>
      </w:pPr>
    </w:lvl>
  </w:abstractNum>
  <w:abstractNum w:abstractNumId="6">
    <w:nsid w:val="15337BBD"/>
    <w:multiLevelType w:val="singleLevel"/>
    <w:tmpl w:val="15337BBD"/>
    <w:lvl w:ilvl="0" w:tentative="0">
      <w:start w:val="1"/>
      <w:numFmt w:val="decimal"/>
      <w:lvlText w:val="%1."/>
      <w:lvlJc w:val="left"/>
      <w:pPr>
        <w:tabs>
          <w:tab w:val="left" w:pos="210"/>
        </w:tabs>
        <w:ind w:left="0" w:firstLine="480"/>
      </w:pPr>
      <w:rPr>
        <w:rFonts w:hint="default"/>
      </w:rPr>
    </w:lvl>
  </w:abstractNum>
  <w:abstractNum w:abstractNumId="7">
    <w:nsid w:val="251AD7F6"/>
    <w:multiLevelType w:val="singleLevel"/>
    <w:tmpl w:val="251AD7F6"/>
    <w:lvl w:ilvl="0" w:tentative="0">
      <w:start w:val="1"/>
      <w:numFmt w:val="decimal"/>
      <w:lvlText w:val="1.%1"/>
      <w:lvlJc w:val="left"/>
      <w:pPr>
        <w:tabs>
          <w:tab w:val="left" w:pos="210"/>
        </w:tabs>
        <w:ind w:left="0" w:firstLine="480"/>
      </w:pPr>
      <w:rPr>
        <w:rFonts w:hint="default"/>
      </w:rPr>
    </w:lvl>
  </w:abstractNum>
  <w:abstractNum w:abstractNumId="8">
    <w:nsid w:val="28633BA7"/>
    <w:multiLevelType w:val="singleLevel"/>
    <w:tmpl w:val="28633BA7"/>
    <w:lvl w:ilvl="0" w:tentative="0">
      <w:start w:val="1"/>
      <w:numFmt w:val="chineseCounting"/>
      <w:suff w:val="nothing"/>
      <w:lvlText w:val="%1、"/>
      <w:lvlJc w:val="left"/>
      <w:pPr>
        <w:ind w:left="0" w:firstLine="0"/>
      </w:pPr>
      <w:rPr>
        <w:rFonts w:hint="eastAsia"/>
      </w:rPr>
    </w:lvl>
  </w:abstractNum>
  <w:abstractNum w:abstractNumId="9">
    <w:nsid w:val="49033E06"/>
    <w:multiLevelType w:val="singleLevel"/>
    <w:tmpl w:val="49033E06"/>
    <w:lvl w:ilvl="0" w:tentative="0">
      <w:start w:val="1"/>
      <w:numFmt w:val="decimal"/>
      <w:lvlText w:val="5.%1"/>
      <w:lvlJc w:val="left"/>
      <w:pPr>
        <w:tabs>
          <w:tab w:val="left" w:pos="210"/>
        </w:tabs>
        <w:ind w:left="0" w:firstLine="480"/>
      </w:pPr>
      <w:rPr>
        <w:rFonts w:hint="default"/>
      </w:rPr>
    </w:lvl>
  </w:abstractNum>
  <w:abstractNum w:abstractNumId="10">
    <w:nsid w:val="4C93A323"/>
    <w:multiLevelType w:val="singleLevel"/>
    <w:tmpl w:val="4C93A323"/>
    <w:lvl w:ilvl="0" w:tentative="0">
      <w:start w:val="1"/>
      <w:numFmt w:val="decimal"/>
      <w:lvlText w:val="4.%1"/>
      <w:lvlJc w:val="left"/>
      <w:pPr>
        <w:tabs>
          <w:tab w:val="left" w:pos="210"/>
        </w:tabs>
        <w:ind w:left="0" w:firstLine="480"/>
      </w:pPr>
      <w:rPr>
        <w:rFonts w:hint="default"/>
      </w:rPr>
    </w:lvl>
  </w:abstractNum>
  <w:abstractNum w:abstractNumId="11">
    <w:nsid w:val="62F08F0F"/>
    <w:multiLevelType w:val="singleLevel"/>
    <w:tmpl w:val="62F08F0F"/>
    <w:lvl w:ilvl="0" w:tentative="0">
      <w:start w:val="1"/>
      <w:numFmt w:val="decimal"/>
      <w:lvlText w:val="%1."/>
      <w:lvlJc w:val="left"/>
      <w:pPr>
        <w:tabs>
          <w:tab w:val="left" w:pos="210"/>
        </w:tabs>
        <w:ind w:left="0" w:firstLine="0"/>
      </w:pPr>
      <w:rPr>
        <w:rFonts w:hint="default"/>
      </w:rPr>
    </w:lvl>
  </w:abstractNum>
  <w:abstractNum w:abstractNumId="12">
    <w:nsid w:val="74E35B35"/>
    <w:multiLevelType w:val="singleLevel"/>
    <w:tmpl w:val="74E35B35"/>
    <w:lvl w:ilvl="0" w:tentative="0">
      <w:start w:val="1"/>
      <w:numFmt w:val="decimal"/>
      <w:lvlText w:val="2.%1"/>
      <w:lvlJc w:val="left"/>
      <w:pPr>
        <w:tabs>
          <w:tab w:val="left" w:pos="210"/>
        </w:tabs>
        <w:ind w:left="0" w:firstLine="480"/>
      </w:pPr>
      <w:rPr>
        <w:rFonts w:hint="default"/>
      </w:rPr>
    </w:lvl>
  </w:abstractNum>
  <w:num w:numId="1">
    <w:abstractNumId w:val="8"/>
  </w:num>
  <w:num w:numId="2">
    <w:abstractNumId w:val="0"/>
  </w:num>
  <w:num w:numId="3">
    <w:abstractNumId w:val="5"/>
  </w:num>
  <w:num w:numId="4">
    <w:abstractNumId w:val="1"/>
  </w:num>
  <w:num w:numId="5">
    <w:abstractNumId w:val="10"/>
  </w:num>
  <w:num w:numId="6">
    <w:abstractNumId w:val="9"/>
  </w:num>
  <w:num w:numId="7">
    <w:abstractNumId w:val="3"/>
  </w:num>
  <w:num w:numId="8">
    <w:abstractNumId w:val="6"/>
  </w:num>
  <w:num w:numId="9">
    <w:abstractNumId w:val="2"/>
  </w:num>
  <w:num w:numId="10">
    <w:abstractNumId w:val="11"/>
  </w:num>
  <w:num w:numId="11">
    <w:abstractNumId w:val="7"/>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205412"/>
    <w:rsid w:val="005810F5"/>
    <w:rsid w:val="0087014B"/>
    <w:rsid w:val="0098276D"/>
    <w:rsid w:val="009A0255"/>
    <w:rsid w:val="00C32DA9"/>
    <w:rsid w:val="00DE1D81"/>
    <w:rsid w:val="03B57B98"/>
    <w:rsid w:val="0BFC7617"/>
    <w:rsid w:val="1B0A5DAE"/>
    <w:rsid w:val="24205412"/>
    <w:rsid w:val="47FB1D04"/>
    <w:rsid w:val="53085F24"/>
    <w:rsid w:val="568432FD"/>
    <w:rsid w:val="5C4D7325"/>
    <w:rsid w:val="611778D9"/>
    <w:rsid w:val="61364B95"/>
    <w:rsid w:val="685E7A63"/>
    <w:rsid w:val="68EC149F"/>
    <w:rsid w:val="69F33223"/>
    <w:rsid w:val="6A7B2B14"/>
    <w:rsid w:val="7FE93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next w:val="1"/>
    <w:qFormat/>
    <w:uiPriority w:val="0"/>
    <w:pPr>
      <w:widowControl w:val="0"/>
      <w:spacing w:before="240" w:after="120" w:line="360" w:lineRule="auto"/>
      <w:outlineLvl w:val="0"/>
    </w:pPr>
    <w:rPr>
      <w:rFonts w:ascii="宋体" w:hAnsi="宋体" w:eastAsia="宋体" w:cs="宋体"/>
      <w:b/>
      <w:bCs/>
      <w:kern w:val="44"/>
      <w:sz w:val="24"/>
      <w:szCs w:val="30"/>
      <w:lang w:val="en-US" w:eastAsia="zh-CN" w:bidi="ar-SA"/>
    </w:rPr>
  </w:style>
  <w:style w:type="paragraph" w:styleId="3">
    <w:name w:val="heading 2"/>
    <w:next w:val="1"/>
    <w:unhideWhenUsed/>
    <w:qFormat/>
    <w:uiPriority w:val="0"/>
    <w:pPr>
      <w:widowControl w:val="0"/>
      <w:spacing w:after="120" w:line="360" w:lineRule="auto"/>
      <w:outlineLvl w:val="1"/>
    </w:pPr>
    <w:rPr>
      <w:rFonts w:ascii="Times New Roman" w:hAnsi="Times New Roman" w:eastAsia="宋体" w:cs="Times New Roman"/>
      <w:b/>
      <w:sz w:val="24"/>
      <w:lang w:val="en-US" w:eastAsia="zh-CN" w:bidi="ar-SA"/>
    </w:rPr>
  </w:style>
  <w:style w:type="paragraph" w:styleId="4">
    <w:name w:val="heading 3"/>
    <w:next w:val="1"/>
    <w:semiHidden/>
    <w:unhideWhenUsed/>
    <w:qFormat/>
    <w:uiPriority w:val="0"/>
    <w:pPr>
      <w:widowControl w:val="0"/>
      <w:spacing w:after="120" w:line="360" w:lineRule="auto"/>
      <w:outlineLvl w:val="2"/>
    </w:pPr>
    <w:rPr>
      <w:rFonts w:ascii="Times New Roman" w:hAnsi="Times New Roman" w:eastAsia="宋体" w:cs="Times New Roman"/>
      <w:b/>
      <w:sz w:val="24"/>
      <w:lang w:val="en-US" w:eastAsia="zh-CN" w:bidi="ar-SA"/>
    </w:rPr>
  </w:style>
  <w:style w:type="paragraph" w:styleId="5">
    <w:name w:val="heading 4"/>
    <w:next w:val="1"/>
    <w:semiHidden/>
    <w:unhideWhenUsed/>
    <w:qFormat/>
    <w:uiPriority w:val="0"/>
    <w:pPr>
      <w:widowControl w:val="0"/>
      <w:spacing w:after="120" w:line="360" w:lineRule="auto"/>
      <w:outlineLvl w:val="3"/>
    </w:pPr>
    <w:rPr>
      <w:rFonts w:ascii="Times New Roman" w:hAnsi="Times New Roman" w:eastAsia="宋体" w:cs="Times New Roman"/>
      <w:sz w:val="24"/>
      <w:lang w:val="en-US" w:eastAsia="zh-CN" w:bidi="ar-SA"/>
    </w:rPr>
  </w:style>
  <w:style w:type="paragraph" w:styleId="6">
    <w:name w:val="heading 5"/>
    <w:next w:val="1"/>
    <w:semiHidden/>
    <w:unhideWhenUsed/>
    <w:qFormat/>
    <w:uiPriority w:val="0"/>
    <w:pPr>
      <w:widowControl w:val="0"/>
      <w:spacing w:after="120" w:line="440" w:lineRule="exact"/>
      <w:outlineLvl w:val="4"/>
    </w:pPr>
    <w:rPr>
      <w:rFonts w:ascii="Times New Roman" w:hAnsi="Times New Roman" w:eastAsia="宋体" w:cs="Times New Roman"/>
      <w:sz w:val="24"/>
      <w:lang w:val="en-US" w:eastAsia="zh-CN" w:bidi="ar-SA"/>
    </w:rPr>
  </w:style>
  <w:style w:type="paragraph" w:styleId="7">
    <w:name w:val="heading 6"/>
    <w:next w:val="1"/>
    <w:semiHidden/>
    <w:unhideWhenUsed/>
    <w:qFormat/>
    <w:uiPriority w:val="0"/>
    <w:pPr>
      <w:widowControl w:val="0"/>
      <w:spacing w:after="120" w:line="360" w:lineRule="auto"/>
      <w:outlineLvl w:val="5"/>
    </w:pPr>
    <w:rPr>
      <w:rFonts w:ascii="Times New Roman" w:hAnsi="Times New Roman" w:eastAsia="宋体" w:cs="Times New Roman"/>
      <w:sz w:val="24"/>
      <w:lang w:val="en-US" w:eastAsia="zh-CN" w:bidi="ar-SA"/>
    </w:rPr>
  </w:style>
  <w:style w:type="paragraph" w:styleId="8">
    <w:name w:val="heading 7"/>
    <w:next w:val="1"/>
    <w:semiHidden/>
    <w:unhideWhenUsed/>
    <w:qFormat/>
    <w:uiPriority w:val="0"/>
    <w:pPr>
      <w:widowControl w:val="0"/>
      <w:spacing w:after="120" w:line="360" w:lineRule="auto"/>
      <w:outlineLvl w:val="6"/>
    </w:pPr>
    <w:rPr>
      <w:rFonts w:ascii="Times New Roman" w:hAnsi="Times New Roman" w:eastAsia="宋体" w:cs="Times New Roman"/>
      <w:sz w:val="24"/>
      <w:lang w:val="en-US" w:eastAsia="zh-CN" w:bidi="ar-SA"/>
    </w:rPr>
  </w:style>
  <w:style w:type="paragraph" w:styleId="9">
    <w:name w:val="heading 8"/>
    <w:next w:val="1"/>
    <w:semiHidden/>
    <w:unhideWhenUsed/>
    <w:qFormat/>
    <w:uiPriority w:val="0"/>
    <w:pPr>
      <w:widowControl w:val="0"/>
      <w:spacing w:after="120" w:line="360" w:lineRule="auto"/>
      <w:outlineLvl w:val="7"/>
    </w:pPr>
    <w:rPr>
      <w:rFonts w:ascii="Times New Roman" w:hAnsi="Times New Roman" w:eastAsia="宋体" w:cs="Times New Roman"/>
      <w:sz w:val="24"/>
      <w:lang w:val="en-US" w:eastAsia="zh-CN" w:bidi="ar-SA"/>
    </w:rPr>
  </w:style>
  <w:style w:type="paragraph" w:styleId="10">
    <w:name w:val="heading 9"/>
    <w:next w:val="1"/>
    <w:semiHidden/>
    <w:unhideWhenUsed/>
    <w:qFormat/>
    <w:uiPriority w:val="0"/>
    <w:pPr>
      <w:widowControl w:val="0"/>
      <w:spacing w:after="120" w:line="360" w:lineRule="auto"/>
      <w:outlineLvl w:val="8"/>
    </w:pPr>
    <w:rPr>
      <w:rFonts w:ascii="Times New Roman" w:hAnsi="Times New Roman" w:eastAsia="宋体" w:cs="Times New Roman"/>
      <w:sz w:val="24"/>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qFormat/>
    <w:uiPriority w:val="0"/>
    <w:pPr>
      <w:widowControl w:val="0"/>
      <w:spacing w:after="120" w:line="360" w:lineRule="auto"/>
      <w:ind w:firstLine="420" w:firstLineChars="200"/>
    </w:pPr>
    <w:rPr>
      <w:rFonts w:ascii="Times New Roman" w:hAnsi="Times New Roman" w:eastAsia="宋体" w:cs="Times New Roman"/>
      <w:sz w:val="24"/>
      <w:lang w:val="en-US" w:eastAsia="zh-CN" w:bidi="ar-SA"/>
    </w:rPr>
  </w:style>
  <w:style w:type="paragraph" w:styleId="13">
    <w:name w:val="Body Text Indent"/>
    <w:basedOn w:val="1"/>
    <w:qFormat/>
    <w:uiPriority w:val="99"/>
    <w:pPr>
      <w:spacing w:after="120"/>
      <w:ind w:left="420" w:leftChars="200"/>
    </w:pPr>
  </w:style>
  <w:style w:type="paragraph" w:styleId="14">
    <w:name w:val="footer"/>
    <w:basedOn w:val="1"/>
    <w:link w:val="24"/>
    <w:uiPriority w:val="0"/>
    <w:pPr>
      <w:tabs>
        <w:tab w:val="center" w:pos="4153"/>
        <w:tab w:val="right" w:pos="8306"/>
      </w:tabs>
      <w:snapToGrid w:val="0"/>
      <w:jc w:val="left"/>
    </w:pPr>
    <w:rPr>
      <w:sz w:val="18"/>
      <w:szCs w:val="18"/>
    </w:rPr>
  </w:style>
  <w:style w:type="paragraph" w:styleId="15">
    <w:name w:val="header"/>
    <w:basedOn w:val="1"/>
    <w:link w:val="23"/>
    <w:uiPriority w:val="0"/>
    <w:pPr>
      <w:tabs>
        <w:tab w:val="center" w:pos="4153"/>
        <w:tab w:val="right" w:pos="8306"/>
      </w:tabs>
      <w:snapToGrid w:val="0"/>
      <w:jc w:val="center"/>
    </w:pPr>
    <w:rPr>
      <w:sz w:val="18"/>
      <w:szCs w:val="18"/>
    </w:rPr>
  </w:style>
  <w:style w:type="paragraph" w:styleId="16">
    <w:name w:val="Subtitle"/>
    <w:qFormat/>
    <w:uiPriority w:val="0"/>
    <w:pPr>
      <w:widowControl w:val="0"/>
      <w:spacing w:after="240"/>
      <w:jc w:val="center"/>
    </w:pPr>
    <w:rPr>
      <w:rFonts w:ascii="Times New Roman" w:hAnsi="Times New Roman" w:eastAsia="宋体" w:cs="Times New Roman"/>
      <w:kern w:val="28"/>
      <w:sz w:val="21"/>
      <w:lang w:val="en-US" w:eastAsia="zh-CN" w:bidi="ar-SA"/>
    </w:rPr>
  </w:style>
  <w:style w:type="paragraph" w:styleId="17">
    <w:name w:val="Title"/>
    <w:qFormat/>
    <w:uiPriority w:val="0"/>
    <w:pPr>
      <w:spacing w:before="240" w:after="240"/>
      <w:jc w:val="center"/>
    </w:pPr>
    <w:rPr>
      <w:rFonts w:ascii="Times New Roman" w:hAnsi="Times New Roman" w:eastAsia="宋体" w:cs="Times New Roman"/>
      <w:b/>
      <w:sz w:val="32"/>
      <w:lang w:val="en-US" w:eastAsia="zh-CN" w:bidi="ar-SA"/>
    </w:rPr>
  </w:style>
  <w:style w:type="paragraph" w:styleId="18">
    <w:name w:val="Body Text First Indent 2"/>
    <w:basedOn w:val="13"/>
    <w:qFormat/>
    <w:uiPriority w:val="99"/>
    <w:pPr>
      <w:ind w:firstLine="420" w:firstLineChars="2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null3"/>
    <w:hidden/>
    <w:qFormat/>
    <w:uiPriority w:val="0"/>
    <w:rPr>
      <w:rFonts w:hint="eastAsia" w:asciiTheme="minorHAnsi" w:hAnsiTheme="minorHAnsi" w:eastAsiaTheme="minorEastAsia" w:cstheme="minorBidi"/>
      <w:lang w:val="en-US" w:eastAsia="zh-Hans" w:bidi="ar-SA"/>
    </w:rPr>
  </w:style>
  <w:style w:type="character" w:customStyle="1" w:styleId="23">
    <w:name w:val="页眉 字符"/>
    <w:basedOn w:val="21"/>
    <w:link w:val="15"/>
    <w:uiPriority w:val="0"/>
    <w:rPr>
      <w:rFonts w:asciiTheme="minorHAnsi" w:hAnsiTheme="minorHAnsi" w:eastAsiaTheme="minorEastAsia" w:cstheme="minorBidi"/>
      <w:kern w:val="2"/>
      <w:sz w:val="18"/>
      <w:szCs w:val="18"/>
    </w:rPr>
  </w:style>
  <w:style w:type="character" w:customStyle="1" w:styleId="24">
    <w:name w:val="页脚 字符"/>
    <w:basedOn w:val="21"/>
    <w:link w:val="1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1201</Words>
  <Characters>1421</Characters>
  <Lines>191</Lines>
  <Paragraphs>235</Paragraphs>
  <TotalTime>83</TotalTime>
  <ScaleCrop>false</ScaleCrop>
  <LinksUpToDate>false</LinksUpToDate>
  <CharactersWithSpaces>1435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2026-05-28T06:53:00Z</dcterms:created>
  <dc:creator>A.勾勾勾</dc:creator>
  <cp:lastModifiedBy>A.勾勾勾</cp:lastModifiedBy>
  <dcterms:modified xsi:type="dcterms:W3CDTF">2026-06-01T07:11:12Z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DD608BCFF1024D54973ACF17356E05DF_13</vt:lpwstr>
  </property>
  <property fmtid="{D5CDD505-2E9C-101B-9397-08002B2CF9AE}" pid="4" name="KSOTemplateDocerSaveRecord">
    <vt:lpwstr>eyJoZGlkIjoiMDdmOWQ5NjgwNWMwYzg2MjYyZmQ1ODBkOTFkYmIwNTAiLCJ1c2VySWQiOiI0NDk4OTEzNjgifQ==</vt:lpwstr>
  </property>
</Properties>
</file>