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DBB2">
      <w:pPr>
        <w:pageBreakBefore w:val="0"/>
        <w:widowControl w:val="0"/>
        <w:kinsoku/>
        <w:wordWrap/>
        <w:overflowPunct/>
        <w:topLinePunct w:val="0"/>
        <w:autoSpaceDE/>
        <w:autoSpaceDN/>
        <w:bidi w:val="0"/>
        <w:adjustRightInd/>
        <w:snapToGrid/>
        <w:spacing w:line="580" w:lineRule="exact"/>
        <w:textAlignment w:val="auto"/>
        <w:rPr>
          <w:rFonts w:hint="eastAsia" w:ascii="方正公文小标宋" w:hAnsi="方正公文小标宋" w:eastAsia="方正公文小标宋" w:cs="方正公文小标宋"/>
          <w:b/>
          <w:bCs/>
          <w:sz w:val="32"/>
          <w:szCs w:val="32"/>
        </w:rPr>
      </w:pPr>
      <w:bookmarkStart w:id="0" w:name="_Toc27953"/>
      <w:bookmarkStart w:id="1" w:name="_Toc66201764"/>
      <w:bookmarkStart w:id="2" w:name="_Toc66282375"/>
      <w:r>
        <w:rPr>
          <w:rStyle w:val="12"/>
          <w:rFonts w:hint="eastAsia" w:ascii="方正公文小标宋" w:hAnsi="方正公文小标宋" w:eastAsia="方正公文小标宋" w:cs="方正公文小标宋"/>
          <w:b/>
          <w:bCs/>
          <w:color w:val="666666"/>
          <w:sz w:val="32"/>
          <w:szCs w:val="32"/>
        </w:rPr>
        <w:t>附件1：项目基本需求</w:t>
      </w:r>
    </w:p>
    <w:bookmarkEnd w:id="0"/>
    <w:bookmarkEnd w:id="1"/>
    <w:bookmarkEnd w:id="2"/>
    <w:p w14:paraId="4CBEC582">
      <w:pPr>
        <w:pStyle w:val="4"/>
        <w:keepNext/>
        <w:keepLines/>
        <w:pageBreakBefore w:val="0"/>
        <w:widowControl w:val="0"/>
        <w:kinsoku/>
        <w:wordWrap/>
        <w:overflowPunct/>
        <w:topLinePunct w:val="0"/>
        <w:autoSpaceDE/>
        <w:autoSpaceDN/>
        <w:bidi w:val="0"/>
        <w:adjustRightInd/>
        <w:snapToGrid/>
        <w:spacing w:before="0" w:after="0" w:line="580" w:lineRule="exact"/>
        <w:ind w:firstLine="562" w:firstLineChars="200"/>
        <w:textAlignment w:val="auto"/>
        <w:outlineLvl w:val="3"/>
        <w:rPr>
          <w:rFonts w:ascii="宋体" w:hAnsi="宋体" w:eastAsia="宋体"/>
          <w:szCs w:val="28"/>
        </w:rPr>
      </w:pPr>
      <w:r>
        <w:rPr>
          <w:rFonts w:hint="eastAsia" w:ascii="宋体" w:hAnsi="宋体" w:eastAsia="宋体"/>
          <w:szCs w:val="28"/>
        </w:rPr>
        <w:t>一、项目建设目标：</w:t>
      </w:r>
    </w:p>
    <w:p w14:paraId="77244EBF">
      <w:pPr>
        <w:pStyle w:val="13"/>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lang w:val="en-US" w:eastAsia="zh-CN"/>
        </w:rPr>
      </w:pPr>
      <w:r>
        <w:rPr>
          <w:rFonts w:hint="eastAsia" w:ascii="宋体" w:hAnsi="宋体" w:eastAsia="宋体" w:cs="黑体"/>
          <w:kern w:val="2"/>
          <w:sz w:val="28"/>
          <w:szCs w:val="28"/>
          <w:lang w:val="en-US" w:eastAsia="zh-CN" w:bidi="ar-SA"/>
          <w14:ligatures w14:val="standardContextual"/>
        </w:rPr>
        <w:t>为提升眉山市人民医院信息化运维管理水平、临床诊疗与办公运行效率，我院拟采购一家服务商对全院终端进行一体化运维服务，实现全院终端设备全生命周期规范化管理，构建“事前预防、事中快速处置、事后闭环优化”的全流程运维体系，</w:t>
      </w:r>
      <w:bookmarkStart w:id="3" w:name="_GoBack"/>
      <w:bookmarkEnd w:id="3"/>
      <w:r>
        <w:rPr>
          <w:rFonts w:hint="eastAsia" w:ascii="宋体" w:hAnsi="宋体" w:eastAsia="宋体" w:cs="黑体"/>
          <w:kern w:val="2"/>
          <w:sz w:val="28"/>
          <w:szCs w:val="28"/>
          <w:lang w:val="en-US" w:eastAsia="zh-CN" w:bidi="ar-SA"/>
          <w14:ligatures w14:val="standardContextual"/>
        </w:rPr>
        <w:t>降低设备故障率，保障业务连续性。通过全额包干集约化管理，实现终端耗材集中采购、统一配送、规范使用，严控耗材质量与运营成本。建立7×24小时不间断运维服务体系，搭建一体化终端运维管理平台并与现有系统无缝对接，实现资产、耗材、工单、巡检全流程数字化监管。同时建立完善网络安全与数据保密体系，严守医疗数据安全规定，全面提升服务满意度与风险管控能力，为医院医疗服务提质增效提供坚实信息化支撑</w:t>
      </w:r>
      <w:r>
        <w:rPr>
          <w:rFonts w:hint="eastAsia" w:ascii="宋体" w:hAnsi="宋体" w:cs="黑体"/>
          <w:kern w:val="2"/>
          <w:sz w:val="28"/>
          <w:szCs w:val="28"/>
          <w:lang w:val="en-US" w:eastAsia="zh-CN" w:bidi="ar-SA"/>
          <w14:ligatures w14:val="standardContextual"/>
        </w:rPr>
        <w:t>。</w:t>
      </w:r>
    </w:p>
    <w:p w14:paraId="72C37B38">
      <w:pPr>
        <w:pStyle w:val="4"/>
        <w:keepNext/>
        <w:keepLines/>
        <w:pageBreakBefore w:val="0"/>
        <w:widowControl w:val="0"/>
        <w:kinsoku/>
        <w:wordWrap/>
        <w:overflowPunct/>
        <w:topLinePunct w:val="0"/>
        <w:autoSpaceDE/>
        <w:autoSpaceDN/>
        <w:bidi w:val="0"/>
        <w:adjustRightInd/>
        <w:snapToGrid/>
        <w:spacing w:before="0" w:after="0" w:line="580" w:lineRule="exact"/>
        <w:ind w:firstLine="562" w:firstLineChars="200"/>
        <w:textAlignment w:val="auto"/>
        <w:outlineLvl w:val="3"/>
        <w:rPr>
          <w:rFonts w:hint="eastAsia" w:ascii="Times New Roman" w:hAnsi="Times New Roman" w:eastAsia="宋体"/>
          <w:lang w:eastAsia="zh-CN"/>
        </w:rPr>
      </w:pPr>
      <w:r>
        <w:rPr>
          <w:rFonts w:hint="eastAsia" w:ascii="宋体" w:hAnsi="宋体" w:eastAsia="宋体"/>
          <w:szCs w:val="28"/>
          <w:lang w:val="en-US" w:eastAsia="zh-CN"/>
        </w:rPr>
        <w:t>二</w:t>
      </w:r>
      <w:r>
        <w:rPr>
          <w:rFonts w:hint="eastAsia" w:ascii="宋体" w:hAnsi="宋体" w:eastAsia="宋体"/>
          <w:szCs w:val="28"/>
        </w:rPr>
        <w:t>、</w:t>
      </w:r>
      <w:r>
        <w:rPr>
          <w:rFonts w:hint="eastAsia" w:ascii="宋体" w:hAnsi="宋体" w:eastAsia="宋体"/>
          <w:szCs w:val="28"/>
          <w:lang w:val="en-US" w:eastAsia="zh-CN"/>
        </w:rPr>
        <w:t>全院终端一体化运维服务项目</w:t>
      </w:r>
      <w:r>
        <w:rPr>
          <w:rFonts w:hint="eastAsia" w:ascii="宋体" w:hAnsi="宋体" w:eastAsia="宋体"/>
          <w:szCs w:val="28"/>
        </w:rPr>
        <w:t>基本要求</w:t>
      </w:r>
      <w:r>
        <w:rPr>
          <w:rFonts w:hint="eastAsia" w:ascii="宋体" w:hAnsi="宋体" w:eastAsia="宋体"/>
          <w:szCs w:val="28"/>
          <w:lang w:eastAsia="zh-CN"/>
        </w:rPr>
        <w:t>（包括但不限于）</w:t>
      </w:r>
    </w:p>
    <w:p w14:paraId="1DDDD66F">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本次调研面向具备相应服务能力的供应商，征集眉山市人民医院全院终端一体化运维服务方案，承担全院终端设备运维、耗材供应、系统建设、人员驻场、安全保密等全部工作，具体要求如下：</w:t>
      </w:r>
    </w:p>
    <w:p w14:paraId="2A8B9F29">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（一）运维范围要求</w:t>
      </w:r>
    </w:p>
    <w:p w14:paraId="69C6D7BA">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项目运维范围为眉山市人民医院全院所有终端设备及相关配套服务，覆盖医院所有临床科室、医技科室、行政职能科室、后勤保障科室，所有已过保、需产生运维工作量与运维费用的终端设备均纳入本次运维范围，尚在维保期内的设备不纳入本次运维范围。</w:t>
      </w:r>
    </w:p>
    <w:p w14:paraId="5EEA30B8">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本项目运维范围的终端设备总量共计约3289套（后续以实际数量为准），具体明细如下：</w:t>
      </w:r>
    </w:p>
    <w:tbl>
      <w:tblPr>
        <w:tblStyle w:val="9"/>
        <w:tblW w:w="6117" w:type="pct"/>
        <w:tblInd w:w="-989" w:type="dxa"/>
        <w:tblLayout w:type="autofit"/>
        <w:tblCellMar>
          <w:top w:w="0" w:type="dxa"/>
          <w:left w:w="108" w:type="dxa"/>
          <w:bottom w:w="0" w:type="dxa"/>
          <w:right w:w="108" w:type="dxa"/>
        </w:tblCellMar>
      </w:tblPr>
      <w:tblGrid>
        <w:gridCol w:w="1043"/>
        <w:gridCol w:w="782"/>
        <w:gridCol w:w="1539"/>
        <w:gridCol w:w="1199"/>
        <w:gridCol w:w="5863"/>
      </w:tblGrid>
      <w:tr w14:paraId="6A70B4F9">
        <w:tblPrEx>
          <w:tblCellMar>
            <w:top w:w="0" w:type="dxa"/>
            <w:left w:w="108" w:type="dxa"/>
            <w:bottom w:w="0" w:type="dxa"/>
            <w:right w:w="108" w:type="dxa"/>
          </w:tblCellMar>
        </w:tblPrEx>
        <w:trPr>
          <w:trHeight w:val="700"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4D2265C5">
            <w:pPr>
              <w:pStyle w:val="20"/>
              <w:jc w:val="center"/>
              <w:rPr>
                <w:sz w:val="24"/>
                <w:szCs w:val="24"/>
              </w:rPr>
            </w:pPr>
            <w:r>
              <w:rPr>
                <w:rFonts w:hint="eastAsia"/>
                <w:sz w:val="24"/>
                <w:szCs w:val="24"/>
              </w:rPr>
              <w:t>资产大类</w:t>
            </w:r>
          </w:p>
        </w:tc>
        <w:tc>
          <w:tcPr>
            <w:tcW w:w="375" w:type="pct"/>
            <w:tcBorders>
              <w:top w:val="single" w:color="000000" w:sz="4" w:space="0"/>
              <w:left w:val="single" w:color="000000" w:sz="4" w:space="0"/>
              <w:bottom w:val="single" w:color="000000" w:sz="4" w:space="0"/>
              <w:right w:val="single" w:color="000000" w:sz="4" w:space="0"/>
            </w:tcBorders>
            <w:vAlign w:val="center"/>
          </w:tcPr>
          <w:p w14:paraId="3BA71E7E">
            <w:pPr>
              <w:pStyle w:val="20"/>
              <w:jc w:val="center"/>
              <w:rPr>
                <w:sz w:val="24"/>
                <w:szCs w:val="24"/>
              </w:rPr>
            </w:pPr>
            <w:r>
              <w:rPr>
                <w:rFonts w:hint="eastAsia"/>
                <w:sz w:val="24"/>
                <w:szCs w:val="24"/>
              </w:rPr>
              <w:t>序号</w:t>
            </w:r>
          </w:p>
        </w:tc>
        <w:tc>
          <w:tcPr>
            <w:tcW w:w="737" w:type="pct"/>
            <w:tcBorders>
              <w:top w:val="single" w:color="000000" w:sz="4" w:space="0"/>
              <w:left w:val="single" w:color="000000" w:sz="4" w:space="0"/>
              <w:bottom w:val="single" w:color="000000" w:sz="4" w:space="0"/>
              <w:right w:val="single" w:color="000000" w:sz="4" w:space="0"/>
            </w:tcBorders>
            <w:vAlign w:val="center"/>
          </w:tcPr>
          <w:p w14:paraId="15499F25">
            <w:pPr>
              <w:pStyle w:val="20"/>
              <w:jc w:val="center"/>
              <w:rPr>
                <w:sz w:val="24"/>
                <w:szCs w:val="24"/>
              </w:rPr>
            </w:pPr>
            <w:r>
              <w:rPr>
                <w:rFonts w:hint="eastAsia"/>
                <w:sz w:val="24"/>
                <w:szCs w:val="24"/>
              </w:rPr>
              <w:t>资产名称</w:t>
            </w:r>
          </w:p>
        </w:tc>
        <w:tc>
          <w:tcPr>
            <w:tcW w:w="575" w:type="pct"/>
            <w:tcBorders>
              <w:top w:val="single" w:color="000000" w:sz="4" w:space="0"/>
              <w:left w:val="single" w:color="000000" w:sz="4" w:space="0"/>
              <w:bottom w:val="single" w:color="000000" w:sz="4" w:space="0"/>
              <w:right w:val="single" w:color="000000" w:sz="4" w:space="0"/>
            </w:tcBorders>
            <w:vAlign w:val="center"/>
          </w:tcPr>
          <w:p w14:paraId="446AF9FA">
            <w:pPr>
              <w:pStyle w:val="20"/>
              <w:jc w:val="center"/>
              <w:rPr>
                <w:sz w:val="24"/>
                <w:szCs w:val="24"/>
              </w:rPr>
            </w:pPr>
            <w:r>
              <w:rPr>
                <w:rFonts w:hint="eastAsia"/>
                <w:sz w:val="24"/>
                <w:szCs w:val="24"/>
              </w:rPr>
              <w:t>预估数量</w:t>
            </w:r>
          </w:p>
        </w:tc>
        <w:tc>
          <w:tcPr>
            <w:tcW w:w="2811" w:type="pct"/>
            <w:tcBorders>
              <w:top w:val="single" w:color="000000" w:sz="4" w:space="0"/>
              <w:left w:val="single" w:color="000000" w:sz="4" w:space="0"/>
              <w:bottom w:val="single" w:color="000000" w:sz="4" w:space="0"/>
              <w:right w:val="single" w:color="000000" w:sz="4" w:space="0"/>
            </w:tcBorders>
            <w:vAlign w:val="center"/>
          </w:tcPr>
          <w:p w14:paraId="5704B3C0">
            <w:pPr>
              <w:pStyle w:val="20"/>
              <w:jc w:val="center"/>
              <w:rPr>
                <w:sz w:val="24"/>
                <w:szCs w:val="24"/>
              </w:rPr>
            </w:pPr>
            <w:r>
              <w:rPr>
                <w:rFonts w:hint="eastAsia"/>
                <w:sz w:val="24"/>
                <w:szCs w:val="24"/>
              </w:rPr>
              <w:t>运维范围说明</w:t>
            </w:r>
          </w:p>
        </w:tc>
      </w:tr>
      <w:tr w14:paraId="60861834">
        <w:tblPrEx>
          <w:tblCellMar>
            <w:top w:w="0" w:type="dxa"/>
            <w:left w:w="108" w:type="dxa"/>
            <w:bottom w:w="0" w:type="dxa"/>
            <w:right w:w="108" w:type="dxa"/>
          </w:tblCellMar>
        </w:tblPrEx>
        <w:trPr>
          <w:trHeight w:val="1050" w:hRule="atLeast"/>
        </w:trPr>
        <w:tc>
          <w:tcPr>
            <w:tcW w:w="500" w:type="pct"/>
            <w:vMerge w:val="restart"/>
            <w:tcBorders>
              <w:top w:val="single" w:color="000000" w:sz="4" w:space="0"/>
              <w:left w:val="single" w:color="000000" w:sz="4" w:space="0"/>
              <w:bottom w:val="single" w:color="000000" w:sz="4" w:space="0"/>
              <w:right w:val="single" w:color="000000" w:sz="4" w:space="0"/>
            </w:tcBorders>
            <w:vAlign w:val="center"/>
          </w:tcPr>
          <w:p w14:paraId="00DBA7B3">
            <w:pPr>
              <w:pStyle w:val="20"/>
              <w:jc w:val="center"/>
              <w:rPr>
                <w:sz w:val="24"/>
                <w:szCs w:val="24"/>
              </w:rPr>
            </w:pPr>
            <w:r>
              <w:rPr>
                <w:rFonts w:hint="eastAsia"/>
                <w:sz w:val="24"/>
                <w:szCs w:val="24"/>
              </w:rPr>
              <w:t>计算机终端类</w:t>
            </w:r>
          </w:p>
        </w:tc>
        <w:tc>
          <w:tcPr>
            <w:tcW w:w="375" w:type="pct"/>
            <w:tcBorders>
              <w:top w:val="single" w:color="000000" w:sz="4" w:space="0"/>
              <w:left w:val="single" w:color="000000" w:sz="4" w:space="0"/>
              <w:bottom w:val="single" w:color="000000" w:sz="4" w:space="0"/>
              <w:right w:val="single" w:color="000000" w:sz="4" w:space="0"/>
            </w:tcBorders>
            <w:vAlign w:val="center"/>
          </w:tcPr>
          <w:p w14:paraId="05BD3F72">
            <w:pPr>
              <w:pStyle w:val="20"/>
              <w:jc w:val="center"/>
              <w:rPr>
                <w:sz w:val="24"/>
                <w:szCs w:val="24"/>
              </w:rPr>
            </w:pPr>
            <w:r>
              <w:rPr>
                <w:sz w:val="24"/>
                <w:szCs w:val="24"/>
              </w:rPr>
              <w:t>1</w:t>
            </w:r>
          </w:p>
        </w:tc>
        <w:tc>
          <w:tcPr>
            <w:tcW w:w="737" w:type="pct"/>
            <w:tcBorders>
              <w:top w:val="single" w:color="000000" w:sz="4" w:space="0"/>
              <w:left w:val="single" w:color="000000" w:sz="4" w:space="0"/>
              <w:bottom w:val="single" w:color="000000" w:sz="4" w:space="0"/>
              <w:right w:val="single" w:color="000000" w:sz="4" w:space="0"/>
            </w:tcBorders>
            <w:vAlign w:val="center"/>
          </w:tcPr>
          <w:p w14:paraId="48379B7B">
            <w:pPr>
              <w:pStyle w:val="20"/>
              <w:jc w:val="center"/>
              <w:rPr>
                <w:sz w:val="24"/>
                <w:szCs w:val="24"/>
              </w:rPr>
            </w:pPr>
            <w:r>
              <w:rPr>
                <w:rFonts w:hint="eastAsia"/>
                <w:sz w:val="24"/>
                <w:szCs w:val="24"/>
              </w:rPr>
              <w:t>主机</w:t>
            </w:r>
          </w:p>
        </w:tc>
        <w:tc>
          <w:tcPr>
            <w:tcW w:w="575" w:type="pct"/>
            <w:tcBorders>
              <w:top w:val="single" w:color="000000" w:sz="4" w:space="0"/>
              <w:left w:val="single" w:color="000000" w:sz="4" w:space="0"/>
              <w:bottom w:val="single" w:color="000000" w:sz="4" w:space="0"/>
              <w:right w:val="single" w:color="000000" w:sz="4" w:space="0"/>
            </w:tcBorders>
            <w:vAlign w:val="center"/>
          </w:tcPr>
          <w:p w14:paraId="1854A352">
            <w:pPr>
              <w:pStyle w:val="20"/>
              <w:jc w:val="center"/>
              <w:rPr>
                <w:sz w:val="24"/>
                <w:szCs w:val="24"/>
              </w:rPr>
            </w:pPr>
            <w:r>
              <w:rPr>
                <w:sz w:val="24"/>
                <w:szCs w:val="24"/>
              </w:rPr>
              <w:t>1170</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020A4F05">
            <w:pPr>
              <w:pStyle w:val="20"/>
              <w:jc w:val="left"/>
              <w:rPr>
                <w:sz w:val="24"/>
                <w:szCs w:val="24"/>
              </w:rPr>
            </w:pPr>
            <w:r>
              <w:rPr>
                <w:rFonts w:hint="eastAsia"/>
                <w:sz w:val="24"/>
                <w:szCs w:val="24"/>
              </w:rPr>
              <w:t>全院所有办公、诊疗用电脑主机，含安装调试、系统维护、故障维修、配件更换、巡检保养等全流程运维</w:t>
            </w:r>
          </w:p>
        </w:tc>
      </w:tr>
      <w:tr w14:paraId="50A5DED0">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35B753D">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36AD5052">
            <w:pPr>
              <w:pStyle w:val="20"/>
              <w:jc w:val="center"/>
              <w:rPr>
                <w:sz w:val="24"/>
                <w:szCs w:val="24"/>
              </w:rPr>
            </w:pPr>
            <w:r>
              <w:rPr>
                <w:sz w:val="24"/>
                <w:szCs w:val="24"/>
              </w:rPr>
              <w:t>2</w:t>
            </w:r>
          </w:p>
        </w:tc>
        <w:tc>
          <w:tcPr>
            <w:tcW w:w="737" w:type="pct"/>
            <w:tcBorders>
              <w:top w:val="single" w:color="000000" w:sz="4" w:space="0"/>
              <w:left w:val="single" w:color="000000" w:sz="4" w:space="0"/>
              <w:bottom w:val="single" w:color="000000" w:sz="4" w:space="0"/>
              <w:right w:val="single" w:color="000000" w:sz="4" w:space="0"/>
            </w:tcBorders>
            <w:vAlign w:val="center"/>
          </w:tcPr>
          <w:p w14:paraId="31EF253E">
            <w:pPr>
              <w:pStyle w:val="20"/>
              <w:jc w:val="center"/>
              <w:rPr>
                <w:sz w:val="24"/>
                <w:szCs w:val="24"/>
              </w:rPr>
            </w:pPr>
            <w:r>
              <w:rPr>
                <w:rFonts w:hint="eastAsia"/>
                <w:sz w:val="24"/>
                <w:szCs w:val="24"/>
              </w:rPr>
              <w:t>显示器</w:t>
            </w:r>
          </w:p>
        </w:tc>
        <w:tc>
          <w:tcPr>
            <w:tcW w:w="575" w:type="pct"/>
            <w:tcBorders>
              <w:top w:val="single" w:color="000000" w:sz="4" w:space="0"/>
              <w:left w:val="single" w:color="000000" w:sz="4" w:space="0"/>
              <w:bottom w:val="single" w:color="000000" w:sz="4" w:space="0"/>
              <w:right w:val="single" w:color="000000" w:sz="4" w:space="0"/>
            </w:tcBorders>
            <w:vAlign w:val="center"/>
          </w:tcPr>
          <w:p w14:paraId="3E7491FE">
            <w:pPr>
              <w:pStyle w:val="20"/>
              <w:jc w:val="center"/>
              <w:rPr>
                <w:sz w:val="24"/>
                <w:szCs w:val="24"/>
              </w:rPr>
            </w:pPr>
            <w:r>
              <w:rPr>
                <w:sz w:val="24"/>
                <w:szCs w:val="24"/>
              </w:rPr>
              <w:t>1144</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19118848">
            <w:pPr>
              <w:pStyle w:val="20"/>
              <w:jc w:val="left"/>
              <w:rPr>
                <w:sz w:val="24"/>
                <w:szCs w:val="24"/>
              </w:rPr>
            </w:pPr>
            <w:r>
              <w:rPr>
                <w:rFonts w:hint="eastAsia"/>
                <w:sz w:val="24"/>
                <w:szCs w:val="24"/>
              </w:rPr>
              <w:t>全院所有配套显示器，含安装调试、故障维修、配件更换、巡检保养等</w:t>
            </w:r>
          </w:p>
        </w:tc>
      </w:tr>
      <w:tr w14:paraId="69AA30E6">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661B54C">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6D74CF04">
            <w:pPr>
              <w:pStyle w:val="20"/>
              <w:jc w:val="center"/>
              <w:rPr>
                <w:sz w:val="24"/>
                <w:szCs w:val="24"/>
              </w:rPr>
            </w:pPr>
            <w:r>
              <w:rPr>
                <w:sz w:val="24"/>
                <w:szCs w:val="24"/>
              </w:rPr>
              <w:t>3</w:t>
            </w:r>
          </w:p>
        </w:tc>
        <w:tc>
          <w:tcPr>
            <w:tcW w:w="737" w:type="pct"/>
            <w:tcBorders>
              <w:top w:val="single" w:color="000000" w:sz="4" w:space="0"/>
              <w:left w:val="single" w:color="000000" w:sz="4" w:space="0"/>
              <w:bottom w:val="single" w:color="000000" w:sz="4" w:space="0"/>
              <w:right w:val="single" w:color="000000" w:sz="4" w:space="0"/>
            </w:tcBorders>
            <w:vAlign w:val="center"/>
          </w:tcPr>
          <w:p w14:paraId="3536C550">
            <w:pPr>
              <w:pStyle w:val="20"/>
              <w:jc w:val="center"/>
              <w:rPr>
                <w:sz w:val="24"/>
                <w:szCs w:val="24"/>
              </w:rPr>
            </w:pPr>
            <w:r>
              <w:rPr>
                <w:rFonts w:hint="eastAsia"/>
                <w:sz w:val="24"/>
                <w:szCs w:val="24"/>
              </w:rPr>
              <w:t>专业显示器</w:t>
            </w:r>
          </w:p>
        </w:tc>
        <w:tc>
          <w:tcPr>
            <w:tcW w:w="575" w:type="pct"/>
            <w:tcBorders>
              <w:top w:val="single" w:color="000000" w:sz="4" w:space="0"/>
              <w:left w:val="single" w:color="000000" w:sz="4" w:space="0"/>
              <w:bottom w:val="single" w:color="000000" w:sz="4" w:space="0"/>
              <w:right w:val="single" w:color="000000" w:sz="4" w:space="0"/>
            </w:tcBorders>
            <w:vAlign w:val="center"/>
          </w:tcPr>
          <w:p w14:paraId="113C6775">
            <w:pPr>
              <w:pStyle w:val="20"/>
              <w:jc w:val="center"/>
              <w:rPr>
                <w:sz w:val="24"/>
                <w:szCs w:val="24"/>
              </w:rPr>
            </w:pPr>
            <w:r>
              <w:rPr>
                <w:sz w:val="24"/>
                <w:szCs w:val="24"/>
              </w:rPr>
              <w:t>61</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55599B5D">
            <w:pPr>
              <w:pStyle w:val="20"/>
              <w:jc w:val="left"/>
              <w:rPr>
                <w:sz w:val="24"/>
                <w:szCs w:val="24"/>
              </w:rPr>
            </w:pPr>
            <w:r>
              <w:rPr>
                <w:rFonts w:hint="eastAsia"/>
                <w:sz w:val="24"/>
                <w:szCs w:val="24"/>
              </w:rPr>
              <w:t>全院医疗专用显示器，含专业校准、故障维修、巡检保养等</w:t>
            </w:r>
          </w:p>
        </w:tc>
      </w:tr>
      <w:tr w14:paraId="42D4A1EA">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122D9E5">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710E0712">
            <w:pPr>
              <w:pStyle w:val="20"/>
              <w:jc w:val="center"/>
              <w:rPr>
                <w:sz w:val="24"/>
                <w:szCs w:val="24"/>
              </w:rPr>
            </w:pPr>
            <w:r>
              <w:rPr>
                <w:sz w:val="24"/>
                <w:szCs w:val="24"/>
              </w:rPr>
              <w:t>4</w:t>
            </w:r>
          </w:p>
        </w:tc>
        <w:tc>
          <w:tcPr>
            <w:tcW w:w="737" w:type="pct"/>
            <w:tcBorders>
              <w:top w:val="single" w:color="000000" w:sz="4" w:space="0"/>
              <w:left w:val="single" w:color="000000" w:sz="4" w:space="0"/>
              <w:bottom w:val="single" w:color="000000" w:sz="4" w:space="0"/>
              <w:right w:val="single" w:color="000000" w:sz="4" w:space="0"/>
            </w:tcBorders>
            <w:vAlign w:val="center"/>
          </w:tcPr>
          <w:p w14:paraId="4232386C">
            <w:pPr>
              <w:pStyle w:val="20"/>
              <w:jc w:val="center"/>
              <w:rPr>
                <w:sz w:val="24"/>
                <w:szCs w:val="24"/>
              </w:rPr>
            </w:pPr>
            <w:r>
              <w:rPr>
                <w:rFonts w:hint="eastAsia"/>
                <w:sz w:val="24"/>
                <w:szCs w:val="24"/>
              </w:rPr>
              <w:t>笔记本电脑</w:t>
            </w:r>
          </w:p>
        </w:tc>
        <w:tc>
          <w:tcPr>
            <w:tcW w:w="575" w:type="pct"/>
            <w:tcBorders>
              <w:top w:val="single" w:color="000000" w:sz="4" w:space="0"/>
              <w:left w:val="single" w:color="000000" w:sz="4" w:space="0"/>
              <w:bottom w:val="single" w:color="000000" w:sz="4" w:space="0"/>
              <w:right w:val="single" w:color="000000" w:sz="4" w:space="0"/>
            </w:tcBorders>
            <w:vAlign w:val="center"/>
          </w:tcPr>
          <w:p w14:paraId="1BAB5CE1">
            <w:pPr>
              <w:pStyle w:val="20"/>
              <w:jc w:val="center"/>
              <w:rPr>
                <w:sz w:val="24"/>
                <w:szCs w:val="24"/>
              </w:rPr>
            </w:pPr>
            <w:r>
              <w:rPr>
                <w:sz w:val="24"/>
                <w:szCs w:val="24"/>
              </w:rPr>
              <w:t>27</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1816EED2">
            <w:pPr>
              <w:pStyle w:val="20"/>
              <w:jc w:val="left"/>
              <w:rPr>
                <w:sz w:val="24"/>
                <w:szCs w:val="24"/>
              </w:rPr>
            </w:pPr>
            <w:r>
              <w:rPr>
                <w:rFonts w:hint="eastAsia"/>
                <w:sz w:val="24"/>
                <w:szCs w:val="24"/>
              </w:rPr>
              <w:t>全院办公、移动诊疗用笔记本电脑，含系统维护、故障维修、配件更换等</w:t>
            </w:r>
          </w:p>
        </w:tc>
      </w:tr>
      <w:tr w14:paraId="2A4FE4E6">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2546D9D">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2BFE178C">
            <w:pPr>
              <w:pStyle w:val="20"/>
              <w:jc w:val="center"/>
              <w:rPr>
                <w:sz w:val="24"/>
                <w:szCs w:val="24"/>
              </w:rPr>
            </w:pPr>
            <w:r>
              <w:rPr>
                <w:sz w:val="24"/>
                <w:szCs w:val="24"/>
              </w:rPr>
              <w:t>5</w:t>
            </w:r>
          </w:p>
        </w:tc>
        <w:tc>
          <w:tcPr>
            <w:tcW w:w="737" w:type="pct"/>
            <w:tcBorders>
              <w:top w:val="single" w:color="000000" w:sz="4" w:space="0"/>
              <w:left w:val="single" w:color="000000" w:sz="4" w:space="0"/>
              <w:bottom w:val="single" w:color="000000" w:sz="4" w:space="0"/>
              <w:right w:val="single" w:color="000000" w:sz="4" w:space="0"/>
            </w:tcBorders>
            <w:vAlign w:val="center"/>
          </w:tcPr>
          <w:p w14:paraId="4DDA24E9">
            <w:pPr>
              <w:pStyle w:val="20"/>
              <w:jc w:val="center"/>
              <w:rPr>
                <w:sz w:val="24"/>
                <w:szCs w:val="24"/>
              </w:rPr>
            </w:pPr>
            <w:r>
              <w:rPr>
                <w:rFonts w:hint="eastAsia"/>
                <w:sz w:val="24"/>
                <w:szCs w:val="24"/>
              </w:rPr>
              <w:t>平板</w:t>
            </w:r>
          </w:p>
        </w:tc>
        <w:tc>
          <w:tcPr>
            <w:tcW w:w="575" w:type="pct"/>
            <w:tcBorders>
              <w:top w:val="single" w:color="000000" w:sz="4" w:space="0"/>
              <w:left w:val="single" w:color="000000" w:sz="4" w:space="0"/>
              <w:bottom w:val="single" w:color="000000" w:sz="4" w:space="0"/>
              <w:right w:val="single" w:color="000000" w:sz="4" w:space="0"/>
            </w:tcBorders>
            <w:vAlign w:val="center"/>
          </w:tcPr>
          <w:p w14:paraId="44C6CA52">
            <w:pPr>
              <w:pStyle w:val="20"/>
              <w:jc w:val="center"/>
              <w:rPr>
                <w:sz w:val="24"/>
                <w:szCs w:val="24"/>
              </w:rPr>
            </w:pPr>
            <w:r>
              <w:rPr>
                <w:sz w:val="24"/>
                <w:szCs w:val="24"/>
              </w:rPr>
              <w:t>12</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194C972A">
            <w:pPr>
              <w:pStyle w:val="20"/>
              <w:jc w:val="left"/>
              <w:rPr>
                <w:sz w:val="24"/>
                <w:szCs w:val="24"/>
              </w:rPr>
            </w:pPr>
            <w:r>
              <w:rPr>
                <w:rFonts w:hint="eastAsia"/>
                <w:sz w:val="24"/>
                <w:szCs w:val="24"/>
              </w:rPr>
              <w:t>全院移动诊疗用平板设备，含系统维护、故障维修、配件更换等</w:t>
            </w:r>
          </w:p>
        </w:tc>
      </w:tr>
      <w:tr w14:paraId="4047E29F">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560D1FB3">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5085EF31">
            <w:pPr>
              <w:pStyle w:val="20"/>
              <w:jc w:val="center"/>
              <w:rPr>
                <w:sz w:val="24"/>
                <w:szCs w:val="24"/>
              </w:rPr>
            </w:pPr>
            <w:r>
              <w:rPr>
                <w:sz w:val="24"/>
                <w:szCs w:val="24"/>
              </w:rPr>
              <w:t>6</w:t>
            </w:r>
          </w:p>
        </w:tc>
        <w:tc>
          <w:tcPr>
            <w:tcW w:w="737" w:type="pct"/>
            <w:tcBorders>
              <w:top w:val="single" w:color="000000" w:sz="4" w:space="0"/>
              <w:left w:val="single" w:color="000000" w:sz="4" w:space="0"/>
              <w:bottom w:val="single" w:color="000000" w:sz="4" w:space="0"/>
              <w:right w:val="single" w:color="000000" w:sz="4" w:space="0"/>
            </w:tcBorders>
            <w:vAlign w:val="center"/>
          </w:tcPr>
          <w:p w14:paraId="3D360A7C">
            <w:pPr>
              <w:pStyle w:val="20"/>
              <w:jc w:val="center"/>
              <w:rPr>
                <w:sz w:val="24"/>
                <w:szCs w:val="24"/>
              </w:rPr>
            </w:pPr>
            <w:r>
              <w:rPr>
                <w:rFonts w:hint="eastAsia"/>
                <w:sz w:val="24"/>
                <w:szCs w:val="24"/>
              </w:rPr>
              <w:t>一体机</w:t>
            </w:r>
          </w:p>
        </w:tc>
        <w:tc>
          <w:tcPr>
            <w:tcW w:w="575" w:type="pct"/>
            <w:tcBorders>
              <w:top w:val="single" w:color="000000" w:sz="4" w:space="0"/>
              <w:left w:val="single" w:color="000000" w:sz="4" w:space="0"/>
              <w:bottom w:val="single" w:color="000000" w:sz="4" w:space="0"/>
              <w:right w:val="single" w:color="000000" w:sz="4" w:space="0"/>
            </w:tcBorders>
            <w:vAlign w:val="center"/>
          </w:tcPr>
          <w:p w14:paraId="5D3D0F29">
            <w:pPr>
              <w:pStyle w:val="20"/>
              <w:jc w:val="center"/>
              <w:rPr>
                <w:sz w:val="24"/>
                <w:szCs w:val="24"/>
              </w:rPr>
            </w:pPr>
            <w:r>
              <w:rPr>
                <w:sz w:val="24"/>
                <w:szCs w:val="24"/>
              </w:rPr>
              <w:t>17</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0A7B891D">
            <w:pPr>
              <w:pStyle w:val="20"/>
              <w:jc w:val="left"/>
              <w:rPr>
                <w:sz w:val="24"/>
                <w:szCs w:val="24"/>
              </w:rPr>
            </w:pPr>
            <w:r>
              <w:rPr>
                <w:rFonts w:hint="eastAsia"/>
                <w:sz w:val="24"/>
                <w:szCs w:val="24"/>
              </w:rPr>
              <w:t>全院办公、诊疗用一体机设备，含系统维护、故障维修、配件更换等</w:t>
            </w:r>
          </w:p>
        </w:tc>
      </w:tr>
      <w:tr w14:paraId="664013CB">
        <w:tblPrEx>
          <w:tblCellMar>
            <w:top w:w="0" w:type="dxa"/>
            <w:left w:w="108" w:type="dxa"/>
            <w:bottom w:w="0" w:type="dxa"/>
            <w:right w:w="108" w:type="dxa"/>
          </w:tblCellMar>
        </w:tblPrEx>
        <w:trPr>
          <w:trHeight w:val="370"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20CDB35F">
            <w:pPr>
              <w:pStyle w:val="20"/>
              <w:jc w:val="center"/>
              <w:rPr>
                <w:sz w:val="24"/>
                <w:szCs w:val="24"/>
              </w:rPr>
            </w:pPr>
          </w:p>
        </w:tc>
        <w:tc>
          <w:tcPr>
            <w:tcW w:w="1113" w:type="pct"/>
            <w:gridSpan w:val="2"/>
            <w:tcBorders>
              <w:top w:val="single" w:color="000000" w:sz="4" w:space="0"/>
              <w:left w:val="single" w:color="000000" w:sz="4" w:space="0"/>
              <w:bottom w:val="single" w:color="000000" w:sz="4" w:space="0"/>
              <w:right w:val="single" w:color="000000" w:sz="4" w:space="0"/>
            </w:tcBorders>
            <w:vAlign w:val="center"/>
          </w:tcPr>
          <w:p w14:paraId="0E67138A">
            <w:pPr>
              <w:pStyle w:val="20"/>
              <w:jc w:val="center"/>
              <w:rPr>
                <w:sz w:val="24"/>
                <w:szCs w:val="24"/>
              </w:rPr>
            </w:pPr>
            <w:r>
              <w:rPr>
                <w:rFonts w:hint="eastAsia"/>
                <w:sz w:val="24"/>
                <w:szCs w:val="24"/>
              </w:rPr>
              <w:t>小计</w:t>
            </w:r>
          </w:p>
        </w:tc>
        <w:tc>
          <w:tcPr>
            <w:tcW w:w="575" w:type="pct"/>
            <w:tcBorders>
              <w:top w:val="single" w:color="000000" w:sz="4" w:space="0"/>
              <w:left w:val="single" w:color="000000" w:sz="4" w:space="0"/>
              <w:bottom w:val="single" w:color="000000" w:sz="4" w:space="0"/>
              <w:right w:val="single" w:color="000000" w:sz="4" w:space="0"/>
            </w:tcBorders>
            <w:vAlign w:val="center"/>
          </w:tcPr>
          <w:p w14:paraId="23654850">
            <w:pPr>
              <w:pStyle w:val="20"/>
              <w:jc w:val="center"/>
              <w:rPr>
                <w:sz w:val="24"/>
                <w:szCs w:val="24"/>
              </w:rPr>
            </w:pPr>
            <w:r>
              <w:rPr>
                <w:sz w:val="24"/>
                <w:szCs w:val="24"/>
              </w:rPr>
              <w:t>2431</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7F93DADC">
            <w:pPr>
              <w:pStyle w:val="20"/>
              <w:jc w:val="left"/>
              <w:rPr>
                <w:sz w:val="24"/>
                <w:szCs w:val="24"/>
              </w:rPr>
            </w:pPr>
            <w:r>
              <w:rPr>
                <w:sz w:val="24"/>
                <w:szCs w:val="24"/>
              </w:rPr>
              <w:t>-</w:t>
            </w:r>
          </w:p>
        </w:tc>
      </w:tr>
      <w:tr w14:paraId="2F2FBA40">
        <w:tblPrEx>
          <w:tblCellMar>
            <w:top w:w="0" w:type="dxa"/>
            <w:left w:w="108" w:type="dxa"/>
            <w:bottom w:w="0" w:type="dxa"/>
            <w:right w:w="108" w:type="dxa"/>
          </w:tblCellMar>
        </w:tblPrEx>
        <w:trPr>
          <w:trHeight w:val="700" w:hRule="atLeast"/>
        </w:trPr>
        <w:tc>
          <w:tcPr>
            <w:tcW w:w="500" w:type="pct"/>
            <w:vMerge w:val="restart"/>
            <w:tcBorders>
              <w:top w:val="single" w:color="000000" w:sz="4" w:space="0"/>
              <w:left w:val="single" w:color="000000" w:sz="4" w:space="0"/>
              <w:bottom w:val="single" w:color="000000" w:sz="4" w:space="0"/>
              <w:right w:val="single" w:color="000000" w:sz="4" w:space="0"/>
            </w:tcBorders>
            <w:vAlign w:val="center"/>
          </w:tcPr>
          <w:p w14:paraId="434445E9">
            <w:pPr>
              <w:pStyle w:val="20"/>
              <w:jc w:val="center"/>
              <w:rPr>
                <w:sz w:val="24"/>
                <w:szCs w:val="24"/>
              </w:rPr>
            </w:pPr>
            <w:r>
              <w:rPr>
                <w:rFonts w:hint="eastAsia"/>
                <w:sz w:val="24"/>
                <w:szCs w:val="24"/>
              </w:rPr>
              <w:t>打印输出类</w:t>
            </w:r>
          </w:p>
        </w:tc>
        <w:tc>
          <w:tcPr>
            <w:tcW w:w="375" w:type="pct"/>
            <w:tcBorders>
              <w:top w:val="single" w:color="000000" w:sz="4" w:space="0"/>
              <w:left w:val="single" w:color="000000" w:sz="4" w:space="0"/>
              <w:bottom w:val="single" w:color="000000" w:sz="4" w:space="0"/>
              <w:right w:val="single" w:color="000000" w:sz="4" w:space="0"/>
            </w:tcBorders>
            <w:vAlign w:val="center"/>
          </w:tcPr>
          <w:p w14:paraId="2D3ADC74">
            <w:pPr>
              <w:pStyle w:val="20"/>
              <w:jc w:val="center"/>
              <w:rPr>
                <w:sz w:val="24"/>
                <w:szCs w:val="24"/>
              </w:rPr>
            </w:pPr>
            <w:r>
              <w:rPr>
                <w:sz w:val="24"/>
                <w:szCs w:val="24"/>
              </w:rPr>
              <w:t>7</w:t>
            </w:r>
          </w:p>
        </w:tc>
        <w:tc>
          <w:tcPr>
            <w:tcW w:w="737" w:type="pct"/>
            <w:tcBorders>
              <w:top w:val="single" w:color="000000" w:sz="4" w:space="0"/>
              <w:left w:val="single" w:color="000000" w:sz="4" w:space="0"/>
              <w:bottom w:val="single" w:color="000000" w:sz="4" w:space="0"/>
              <w:right w:val="single" w:color="000000" w:sz="4" w:space="0"/>
            </w:tcBorders>
            <w:vAlign w:val="center"/>
          </w:tcPr>
          <w:p w14:paraId="46281BB1">
            <w:pPr>
              <w:pStyle w:val="20"/>
              <w:jc w:val="center"/>
              <w:rPr>
                <w:sz w:val="24"/>
                <w:szCs w:val="24"/>
              </w:rPr>
            </w:pPr>
            <w:r>
              <w:rPr>
                <w:rFonts w:hint="eastAsia"/>
                <w:sz w:val="24"/>
                <w:szCs w:val="24"/>
              </w:rPr>
              <w:t>激光打印机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0BBB2F12">
            <w:pPr>
              <w:pStyle w:val="20"/>
              <w:jc w:val="center"/>
              <w:rPr>
                <w:sz w:val="24"/>
                <w:szCs w:val="24"/>
              </w:rPr>
            </w:pPr>
            <w:r>
              <w:rPr>
                <w:sz w:val="24"/>
                <w:szCs w:val="24"/>
              </w:rPr>
              <w:t>667</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270969E2">
            <w:pPr>
              <w:pStyle w:val="20"/>
              <w:jc w:val="left"/>
              <w:rPr>
                <w:sz w:val="24"/>
                <w:szCs w:val="24"/>
              </w:rPr>
            </w:pPr>
            <w:r>
              <w:rPr>
                <w:rFonts w:hint="eastAsia"/>
                <w:sz w:val="24"/>
                <w:szCs w:val="24"/>
              </w:rPr>
              <w:t>全院各科室激光打印机，含耗材供应、故障维修、巡检保养等</w:t>
            </w:r>
          </w:p>
        </w:tc>
      </w:tr>
      <w:tr w14:paraId="65B0E444">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5508F719">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53FC6FB8">
            <w:pPr>
              <w:pStyle w:val="20"/>
              <w:jc w:val="center"/>
              <w:rPr>
                <w:sz w:val="24"/>
                <w:szCs w:val="24"/>
              </w:rPr>
            </w:pPr>
            <w:r>
              <w:rPr>
                <w:sz w:val="24"/>
                <w:szCs w:val="24"/>
              </w:rPr>
              <w:t>8</w:t>
            </w:r>
          </w:p>
        </w:tc>
        <w:tc>
          <w:tcPr>
            <w:tcW w:w="737" w:type="pct"/>
            <w:tcBorders>
              <w:top w:val="single" w:color="000000" w:sz="4" w:space="0"/>
              <w:left w:val="single" w:color="000000" w:sz="4" w:space="0"/>
              <w:bottom w:val="single" w:color="000000" w:sz="4" w:space="0"/>
              <w:right w:val="single" w:color="000000" w:sz="4" w:space="0"/>
            </w:tcBorders>
            <w:vAlign w:val="center"/>
          </w:tcPr>
          <w:p w14:paraId="1656C66E">
            <w:pPr>
              <w:pStyle w:val="20"/>
              <w:jc w:val="center"/>
              <w:rPr>
                <w:sz w:val="24"/>
                <w:szCs w:val="24"/>
              </w:rPr>
            </w:pPr>
            <w:r>
              <w:rPr>
                <w:rFonts w:hint="eastAsia"/>
                <w:sz w:val="24"/>
                <w:szCs w:val="24"/>
              </w:rPr>
              <w:t>条码打印机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1A07229C">
            <w:pPr>
              <w:pStyle w:val="20"/>
              <w:jc w:val="center"/>
              <w:rPr>
                <w:sz w:val="24"/>
                <w:szCs w:val="24"/>
              </w:rPr>
            </w:pPr>
            <w:r>
              <w:rPr>
                <w:sz w:val="24"/>
                <w:szCs w:val="24"/>
              </w:rPr>
              <w:t>155</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1EC77A70">
            <w:pPr>
              <w:pStyle w:val="20"/>
              <w:jc w:val="left"/>
              <w:rPr>
                <w:sz w:val="24"/>
                <w:szCs w:val="24"/>
              </w:rPr>
            </w:pPr>
            <w:r>
              <w:rPr>
                <w:rFonts w:hint="eastAsia"/>
                <w:sz w:val="24"/>
                <w:szCs w:val="24"/>
              </w:rPr>
              <w:t>全院条码打印设备，含耗材供应、故障维修、巡检保养等</w:t>
            </w:r>
          </w:p>
        </w:tc>
      </w:tr>
      <w:tr w14:paraId="189B21CE">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E31ECC7">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6C557398">
            <w:pPr>
              <w:pStyle w:val="20"/>
              <w:jc w:val="center"/>
              <w:rPr>
                <w:sz w:val="24"/>
                <w:szCs w:val="24"/>
              </w:rPr>
            </w:pPr>
            <w:r>
              <w:rPr>
                <w:sz w:val="24"/>
                <w:szCs w:val="24"/>
              </w:rPr>
              <w:t>9</w:t>
            </w:r>
          </w:p>
        </w:tc>
        <w:tc>
          <w:tcPr>
            <w:tcW w:w="737" w:type="pct"/>
            <w:tcBorders>
              <w:top w:val="single" w:color="000000" w:sz="4" w:space="0"/>
              <w:left w:val="single" w:color="000000" w:sz="4" w:space="0"/>
              <w:bottom w:val="single" w:color="000000" w:sz="4" w:space="0"/>
              <w:right w:val="single" w:color="000000" w:sz="4" w:space="0"/>
            </w:tcBorders>
            <w:vAlign w:val="center"/>
          </w:tcPr>
          <w:p w14:paraId="25407E3D">
            <w:pPr>
              <w:pStyle w:val="20"/>
              <w:jc w:val="center"/>
              <w:rPr>
                <w:sz w:val="24"/>
                <w:szCs w:val="24"/>
              </w:rPr>
            </w:pPr>
            <w:r>
              <w:rPr>
                <w:rFonts w:hint="eastAsia"/>
                <w:sz w:val="24"/>
                <w:szCs w:val="24"/>
              </w:rPr>
              <w:t>针式打印机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3637B2EB">
            <w:pPr>
              <w:pStyle w:val="20"/>
              <w:jc w:val="center"/>
              <w:rPr>
                <w:sz w:val="24"/>
                <w:szCs w:val="24"/>
              </w:rPr>
            </w:pPr>
            <w:r>
              <w:rPr>
                <w:sz w:val="24"/>
                <w:szCs w:val="24"/>
              </w:rPr>
              <w:t>89</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11D7A329">
            <w:pPr>
              <w:pStyle w:val="20"/>
              <w:jc w:val="left"/>
              <w:rPr>
                <w:sz w:val="24"/>
                <w:szCs w:val="24"/>
              </w:rPr>
            </w:pPr>
            <w:r>
              <w:rPr>
                <w:rFonts w:hint="eastAsia"/>
                <w:sz w:val="24"/>
                <w:szCs w:val="24"/>
              </w:rPr>
              <w:t>全院票据打印针式打印机，含耗材供应、故障维修、巡检保养等</w:t>
            </w:r>
          </w:p>
        </w:tc>
      </w:tr>
      <w:tr w14:paraId="624D3273">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26CA15F">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6C778290">
            <w:pPr>
              <w:pStyle w:val="20"/>
              <w:jc w:val="center"/>
              <w:rPr>
                <w:sz w:val="24"/>
                <w:szCs w:val="24"/>
              </w:rPr>
            </w:pPr>
            <w:r>
              <w:rPr>
                <w:sz w:val="24"/>
                <w:szCs w:val="24"/>
              </w:rPr>
              <w:t>10</w:t>
            </w:r>
          </w:p>
        </w:tc>
        <w:tc>
          <w:tcPr>
            <w:tcW w:w="737" w:type="pct"/>
            <w:tcBorders>
              <w:top w:val="single" w:color="000000" w:sz="4" w:space="0"/>
              <w:left w:val="single" w:color="000000" w:sz="4" w:space="0"/>
              <w:bottom w:val="single" w:color="000000" w:sz="4" w:space="0"/>
              <w:right w:val="single" w:color="000000" w:sz="4" w:space="0"/>
            </w:tcBorders>
            <w:vAlign w:val="center"/>
          </w:tcPr>
          <w:p w14:paraId="3FD8D256">
            <w:pPr>
              <w:pStyle w:val="20"/>
              <w:jc w:val="center"/>
              <w:rPr>
                <w:sz w:val="24"/>
                <w:szCs w:val="24"/>
              </w:rPr>
            </w:pPr>
            <w:r>
              <w:rPr>
                <w:rFonts w:hint="eastAsia"/>
                <w:sz w:val="24"/>
                <w:szCs w:val="24"/>
              </w:rPr>
              <w:t>票据打印机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7C0A092D">
            <w:pPr>
              <w:pStyle w:val="20"/>
              <w:jc w:val="center"/>
              <w:rPr>
                <w:sz w:val="24"/>
                <w:szCs w:val="24"/>
              </w:rPr>
            </w:pPr>
            <w:r>
              <w:rPr>
                <w:sz w:val="24"/>
                <w:szCs w:val="24"/>
              </w:rPr>
              <w:t>46</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280EFEAE">
            <w:pPr>
              <w:pStyle w:val="20"/>
              <w:jc w:val="left"/>
              <w:rPr>
                <w:sz w:val="24"/>
                <w:szCs w:val="24"/>
              </w:rPr>
            </w:pPr>
            <w:r>
              <w:rPr>
                <w:rFonts w:hint="eastAsia"/>
                <w:sz w:val="24"/>
                <w:szCs w:val="24"/>
              </w:rPr>
              <w:t>全院收费、结算用票据打印机，含耗材供应、故障维修、巡检保养等</w:t>
            </w:r>
          </w:p>
        </w:tc>
      </w:tr>
      <w:tr w14:paraId="07F29348">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6954C6E">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68A1EBF4">
            <w:pPr>
              <w:pStyle w:val="20"/>
              <w:jc w:val="center"/>
              <w:rPr>
                <w:sz w:val="24"/>
                <w:szCs w:val="24"/>
              </w:rPr>
            </w:pPr>
            <w:r>
              <w:rPr>
                <w:sz w:val="24"/>
                <w:szCs w:val="24"/>
              </w:rPr>
              <w:t>11</w:t>
            </w:r>
          </w:p>
        </w:tc>
        <w:tc>
          <w:tcPr>
            <w:tcW w:w="737" w:type="pct"/>
            <w:tcBorders>
              <w:top w:val="single" w:color="000000" w:sz="4" w:space="0"/>
              <w:left w:val="single" w:color="000000" w:sz="4" w:space="0"/>
              <w:bottom w:val="single" w:color="000000" w:sz="4" w:space="0"/>
              <w:right w:val="single" w:color="000000" w:sz="4" w:space="0"/>
            </w:tcBorders>
            <w:vAlign w:val="center"/>
          </w:tcPr>
          <w:p w14:paraId="26E5E13C">
            <w:pPr>
              <w:pStyle w:val="20"/>
              <w:jc w:val="center"/>
              <w:rPr>
                <w:sz w:val="24"/>
                <w:szCs w:val="24"/>
              </w:rPr>
            </w:pPr>
            <w:r>
              <w:rPr>
                <w:rFonts w:hint="eastAsia"/>
                <w:sz w:val="24"/>
                <w:szCs w:val="24"/>
              </w:rPr>
              <w:t>喷墨打印机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5BFE7C5C">
            <w:pPr>
              <w:pStyle w:val="20"/>
              <w:jc w:val="center"/>
              <w:rPr>
                <w:sz w:val="24"/>
                <w:szCs w:val="24"/>
              </w:rPr>
            </w:pPr>
            <w:r>
              <w:rPr>
                <w:sz w:val="24"/>
                <w:szCs w:val="24"/>
              </w:rPr>
              <w:t>47</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4CF5ACCA">
            <w:pPr>
              <w:pStyle w:val="20"/>
              <w:jc w:val="left"/>
              <w:rPr>
                <w:sz w:val="24"/>
                <w:szCs w:val="24"/>
              </w:rPr>
            </w:pPr>
            <w:r>
              <w:rPr>
                <w:rFonts w:hint="eastAsia"/>
                <w:sz w:val="24"/>
                <w:szCs w:val="24"/>
              </w:rPr>
              <w:t>全院喷墨打印设备，含耗材供应、故障维修、巡检保养等</w:t>
            </w:r>
          </w:p>
        </w:tc>
      </w:tr>
      <w:tr w14:paraId="6D440C52">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008F917">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7348A937">
            <w:pPr>
              <w:pStyle w:val="20"/>
              <w:jc w:val="center"/>
              <w:rPr>
                <w:sz w:val="24"/>
                <w:szCs w:val="24"/>
              </w:rPr>
            </w:pPr>
            <w:r>
              <w:rPr>
                <w:sz w:val="24"/>
                <w:szCs w:val="24"/>
              </w:rPr>
              <w:t>12</w:t>
            </w:r>
          </w:p>
        </w:tc>
        <w:tc>
          <w:tcPr>
            <w:tcW w:w="737" w:type="pct"/>
            <w:tcBorders>
              <w:top w:val="single" w:color="000000" w:sz="4" w:space="0"/>
              <w:left w:val="single" w:color="000000" w:sz="4" w:space="0"/>
              <w:bottom w:val="single" w:color="000000" w:sz="4" w:space="0"/>
              <w:right w:val="single" w:color="000000" w:sz="4" w:space="0"/>
            </w:tcBorders>
            <w:vAlign w:val="center"/>
          </w:tcPr>
          <w:p w14:paraId="45909639">
            <w:pPr>
              <w:pStyle w:val="20"/>
              <w:jc w:val="center"/>
              <w:rPr>
                <w:sz w:val="24"/>
                <w:szCs w:val="24"/>
              </w:rPr>
            </w:pPr>
            <w:r>
              <w:rPr>
                <w:rFonts w:hint="eastAsia"/>
                <w:sz w:val="24"/>
                <w:szCs w:val="24"/>
              </w:rPr>
              <w:t>腕带打印机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56DFD7E8">
            <w:pPr>
              <w:pStyle w:val="20"/>
              <w:jc w:val="center"/>
              <w:rPr>
                <w:sz w:val="24"/>
                <w:szCs w:val="24"/>
              </w:rPr>
            </w:pPr>
            <w:r>
              <w:rPr>
                <w:sz w:val="24"/>
                <w:szCs w:val="24"/>
              </w:rPr>
              <w:t>24</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646AB8E5">
            <w:pPr>
              <w:pStyle w:val="20"/>
              <w:jc w:val="left"/>
              <w:rPr>
                <w:sz w:val="24"/>
                <w:szCs w:val="24"/>
              </w:rPr>
            </w:pPr>
            <w:r>
              <w:rPr>
                <w:rFonts w:hint="eastAsia"/>
                <w:sz w:val="24"/>
                <w:szCs w:val="24"/>
              </w:rPr>
              <w:t>全院患者腕带打印设备，含耗材供应、故障维修、巡检保养等</w:t>
            </w:r>
          </w:p>
        </w:tc>
      </w:tr>
      <w:tr w14:paraId="386495EB">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6998B8A">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2B8B20C0">
            <w:pPr>
              <w:pStyle w:val="20"/>
              <w:jc w:val="center"/>
              <w:rPr>
                <w:sz w:val="24"/>
                <w:szCs w:val="24"/>
              </w:rPr>
            </w:pPr>
            <w:r>
              <w:rPr>
                <w:sz w:val="24"/>
                <w:szCs w:val="24"/>
              </w:rPr>
              <w:t>13</w:t>
            </w:r>
          </w:p>
        </w:tc>
        <w:tc>
          <w:tcPr>
            <w:tcW w:w="737" w:type="pct"/>
            <w:tcBorders>
              <w:top w:val="single" w:color="000000" w:sz="4" w:space="0"/>
              <w:left w:val="single" w:color="000000" w:sz="4" w:space="0"/>
              <w:bottom w:val="single" w:color="000000" w:sz="4" w:space="0"/>
              <w:right w:val="single" w:color="000000" w:sz="4" w:space="0"/>
            </w:tcBorders>
            <w:vAlign w:val="center"/>
          </w:tcPr>
          <w:p w14:paraId="137423A5">
            <w:pPr>
              <w:pStyle w:val="20"/>
              <w:jc w:val="center"/>
              <w:rPr>
                <w:sz w:val="24"/>
                <w:szCs w:val="24"/>
              </w:rPr>
            </w:pPr>
            <w:r>
              <w:rPr>
                <w:rFonts w:hint="eastAsia"/>
                <w:sz w:val="24"/>
                <w:szCs w:val="24"/>
              </w:rPr>
              <w:t>多功能打印机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698825C3">
            <w:pPr>
              <w:pStyle w:val="20"/>
              <w:jc w:val="center"/>
              <w:rPr>
                <w:sz w:val="24"/>
                <w:szCs w:val="24"/>
              </w:rPr>
            </w:pPr>
            <w:r>
              <w:rPr>
                <w:sz w:val="24"/>
                <w:szCs w:val="24"/>
              </w:rPr>
              <w:t>19</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271DAC38">
            <w:pPr>
              <w:pStyle w:val="20"/>
              <w:jc w:val="left"/>
              <w:rPr>
                <w:sz w:val="24"/>
                <w:szCs w:val="24"/>
              </w:rPr>
            </w:pPr>
            <w:r>
              <w:rPr>
                <w:rFonts w:hint="eastAsia"/>
                <w:sz w:val="24"/>
                <w:szCs w:val="24"/>
              </w:rPr>
              <w:t>全院多功能打印复印一体机，含耗材供应、故障维修、巡检保养等</w:t>
            </w:r>
          </w:p>
        </w:tc>
      </w:tr>
      <w:tr w14:paraId="001F1C3B">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5D82D58">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51503BB2">
            <w:pPr>
              <w:pStyle w:val="20"/>
              <w:jc w:val="center"/>
              <w:rPr>
                <w:sz w:val="24"/>
                <w:szCs w:val="24"/>
              </w:rPr>
            </w:pPr>
            <w:r>
              <w:rPr>
                <w:sz w:val="24"/>
                <w:szCs w:val="24"/>
              </w:rPr>
              <w:t>14</w:t>
            </w:r>
          </w:p>
        </w:tc>
        <w:tc>
          <w:tcPr>
            <w:tcW w:w="737" w:type="pct"/>
            <w:tcBorders>
              <w:top w:val="single" w:color="000000" w:sz="4" w:space="0"/>
              <w:left w:val="single" w:color="000000" w:sz="4" w:space="0"/>
              <w:bottom w:val="single" w:color="000000" w:sz="4" w:space="0"/>
              <w:right w:val="single" w:color="000000" w:sz="4" w:space="0"/>
            </w:tcBorders>
            <w:vAlign w:val="center"/>
          </w:tcPr>
          <w:p w14:paraId="0E0EF462">
            <w:pPr>
              <w:pStyle w:val="20"/>
              <w:jc w:val="center"/>
              <w:rPr>
                <w:sz w:val="24"/>
                <w:szCs w:val="24"/>
              </w:rPr>
            </w:pPr>
            <w:r>
              <w:rPr>
                <w:rFonts w:hint="eastAsia"/>
                <w:sz w:val="24"/>
                <w:szCs w:val="24"/>
              </w:rPr>
              <w:t>彩色打印机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6EC20979">
            <w:pPr>
              <w:pStyle w:val="20"/>
              <w:jc w:val="center"/>
              <w:rPr>
                <w:sz w:val="24"/>
                <w:szCs w:val="24"/>
              </w:rPr>
            </w:pPr>
            <w:r>
              <w:rPr>
                <w:sz w:val="24"/>
                <w:szCs w:val="24"/>
              </w:rPr>
              <w:t>10</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24F257CD">
            <w:pPr>
              <w:pStyle w:val="20"/>
              <w:jc w:val="left"/>
              <w:rPr>
                <w:sz w:val="24"/>
                <w:szCs w:val="24"/>
              </w:rPr>
            </w:pPr>
            <w:r>
              <w:rPr>
                <w:rFonts w:hint="eastAsia"/>
                <w:sz w:val="24"/>
                <w:szCs w:val="24"/>
              </w:rPr>
              <w:t>全院彩色打印设备，含耗材供应、故障维修、巡检保养等</w:t>
            </w:r>
          </w:p>
        </w:tc>
      </w:tr>
      <w:tr w14:paraId="290078C6">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48AC538">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1ABCE19F">
            <w:pPr>
              <w:pStyle w:val="20"/>
              <w:jc w:val="center"/>
              <w:rPr>
                <w:sz w:val="24"/>
                <w:szCs w:val="24"/>
              </w:rPr>
            </w:pPr>
            <w:r>
              <w:rPr>
                <w:sz w:val="24"/>
                <w:szCs w:val="24"/>
              </w:rPr>
              <w:t>15</w:t>
            </w:r>
          </w:p>
        </w:tc>
        <w:tc>
          <w:tcPr>
            <w:tcW w:w="737" w:type="pct"/>
            <w:tcBorders>
              <w:top w:val="single" w:color="000000" w:sz="4" w:space="0"/>
              <w:left w:val="single" w:color="000000" w:sz="4" w:space="0"/>
              <w:bottom w:val="single" w:color="000000" w:sz="4" w:space="0"/>
              <w:right w:val="single" w:color="000000" w:sz="4" w:space="0"/>
            </w:tcBorders>
            <w:vAlign w:val="center"/>
          </w:tcPr>
          <w:p w14:paraId="5B283E51">
            <w:pPr>
              <w:pStyle w:val="20"/>
              <w:jc w:val="center"/>
              <w:rPr>
                <w:sz w:val="24"/>
                <w:szCs w:val="24"/>
              </w:rPr>
            </w:pPr>
            <w:r>
              <w:rPr>
                <w:rFonts w:hint="eastAsia"/>
                <w:sz w:val="24"/>
                <w:szCs w:val="24"/>
              </w:rPr>
              <w:t>复印机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31EB940D">
            <w:pPr>
              <w:pStyle w:val="20"/>
              <w:jc w:val="center"/>
              <w:rPr>
                <w:sz w:val="24"/>
                <w:szCs w:val="24"/>
              </w:rPr>
            </w:pPr>
            <w:r>
              <w:rPr>
                <w:sz w:val="24"/>
                <w:szCs w:val="24"/>
              </w:rPr>
              <w:t>9</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359B7C68">
            <w:pPr>
              <w:pStyle w:val="20"/>
              <w:jc w:val="left"/>
              <w:rPr>
                <w:sz w:val="24"/>
                <w:szCs w:val="24"/>
              </w:rPr>
            </w:pPr>
            <w:r>
              <w:rPr>
                <w:rFonts w:hint="eastAsia"/>
                <w:sz w:val="24"/>
                <w:szCs w:val="24"/>
              </w:rPr>
              <w:t>全院办公用复印机，含耗材供应、故障维修、巡检保养等</w:t>
            </w:r>
          </w:p>
        </w:tc>
      </w:tr>
      <w:tr w14:paraId="39D6C4E7">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226195A">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5AA747DE">
            <w:pPr>
              <w:pStyle w:val="20"/>
              <w:jc w:val="center"/>
              <w:rPr>
                <w:sz w:val="24"/>
                <w:szCs w:val="24"/>
              </w:rPr>
            </w:pPr>
            <w:r>
              <w:rPr>
                <w:sz w:val="24"/>
                <w:szCs w:val="24"/>
              </w:rPr>
              <w:t>16</w:t>
            </w:r>
          </w:p>
        </w:tc>
        <w:tc>
          <w:tcPr>
            <w:tcW w:w="737" w:type="pct"/>
            <w:tcBorders>
              <w:top w:val="single" w:color="000000" w:sz="4" w:space="0"/>
              <w:left w:val="single" w:color="000000" w:sz="4" w:space="0"/>
              <w:bottom w:val="single" w:color="000000" w:sz="4" w:space="0"/>
              <w:right w:val="single" w:color="000000" w:sz="4" w:space="0"/>
            </w:tcBorders>
            <w:vAlign w:val="center"/>
          </w:tcPr>
          <w:p w14:paraId="5E7CF600">
            <w:pPr>
              <w:pStyle w:val="20"/>
              <w:jc w:val="center"/>
              <w:rPr>
                <w:sz w:val="24"/>
                <w:szCs w:val="24"/>
              </w:rPr>
            </w:pPr>
            <w:r>
              <w:rPr>
                <w:rFonts w:hint="eastAsia"/>
                <w:sz w:val="24"/>
                <w:szCs w:val="24"/>
              </w:rPr>
              <w:t>网络打印机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7AF63C7B">
            <w:pPr>
              <w:pStyle w:val="20"/>
              <w:jc w:val="center"/>
              <w:rPr>
                <w:sz w:val="24"/>
                <w:szCs w:val="24"/>
              </w:rPr>
            </w:pPr>
            <w:r>
              <w:rPr>
                <w:sz w:val="24"/>
                <w:szCs w:val="24"/>
              </w:rPr>
              <w:t>9</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537B3CC2">
            <w:pPr>
              <w:pStyle w:val="20"/>
              <w:jc w:val="left"/>
              <w:rPr>
                <w:sz w:val="24"/>
                <w:szCs w:val="24"/>
              </w:rPr>
            </w:pPr>
            <w:r>
              <w:rPr>
                <w:rFonts w:hint="eastAsia"/>
                <w:sz w:val="24"/>
                <w:szCs w:val="24"/>
              </w:rPr>
              <w:t>全院网络共享打印机，含耗材供应、故障维修、巡检保养等</w:t>
            </w:r>
          </w:p>
        </w:tc>
      </w:tr>
      <w:tr w14:paraId="5E8C424E">
        <w:tblPrEx>
          <w:tblCellMar>
            <w:top w:w="0" w:type="dxa"/>
            <w:left w:w="108" w:type="dxa"/>
            <w:bottom w:w="0" w:type="dxa"/>
            <w:right w:w="108" w:type="dxa"/>
          </w:tblCellMar>
        </w:tblPrEx>
        <w:trPr>
          <w:trHeight w:val="105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F4CB75E">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3D238F1A">
            <w:pPr>
              <w:pStyle w:val="20"/>
              <w:jc w:val="center"/>
              <w:rPr>
                <w:sz w:val="24"/>
                <w:szCs w:val="24"/>
              </w:rPr>
            </w:pPr>
            <w:r>
              <w:rPr>
                <w:sz w:val="24"/>
                <w:szCs w:val="24"/>
              </w:rPr>
              <w:t>17</w:t>
            </w:r>
          </w:p>
        </w:tc>
        <w:tc>
          <w:tcPr>
            <w:tcW w:w="737" w:type="pct"/>
            <w:tcBorders>
              <w:top w:val="single" w:color="000000" w:sz="4" w:space="0"/>
              <w:left w:val="single" w:color="000000" w:sz="4" w:space="0"/>
              <w:bottom w:val="single" w:color="000000" w:sz="4" w:space="0"/>
              <w:right w:val="single" w:color="000000" w:sz="4" w:space="0"/>
            </w:tcBorders>
            <w:vAlign w:val="center"/>
          </w:tcPr>
          <w:p w14:paraId="1835BF53">
            <w:pPr>
              <w:pStyle w:val="20"/>
              <w:jc w:val="center"/>
              <w:rPr>
                <w:sz w:val="24"/>
                <w:szCs w:val="24"/>
              </w:rPr>
            </w:pPr>
            <w:r>
              <w:rPr>
                <w:rFonts w:hint="eastAsia"/>
                <w:sz w:val="24"/>
                <w:szCs w:val="24"/>
              </w:rPr>
              <w:t>富士施乐复印机</w:t>
            </w:r>
          </w:p>
        </w:tc>
        <w:tc>
          <w:tcPr>
            <w:tcW w:w="575" w:type="pct"/>
            <w:tcBorders>
              <w:top w:val="single" w:color="000000" w:sz="4" w:space="0"/>
              <w:left w:val="single" w:color="000000" w:sz="4" w:space="0"/>
              <w:bottom w:val="single" w:color="000000" w:sz="4" w:space="0"/>
              <w:right w:val="single" w:color="000000" w:sz="4" w:space="0"/>
            </w:tcBorders>
            <w:vAlign w:val="center"/>
          </w:tcPr>
          <w:p w14:paraId="60F995B0">
            <w:pPr>
              <w:pStyle w:val="20"/>
              <w:jc w:val="center"/>
              <w:rPr>
                <w:sz w:val="24"/>
                <w:szCs w:val="24"/>
              </w:rPr>
            </w:pPr>
            <w:r>
              <w:rPr>
                <w:sz w:val="24"/>
                <w:szCs w:val="24"/>
              </w:rPr>
              <w:t>5</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61F0662A">
            <w:pPr>
              <w:pStyle w:val="20"/>
              <w:jc w:val="left"/>
              <w:rPr>
                <w:sz w:val="24"/>
                <w:szCs w:val="24"/>
              </w:rPr>
            </w:pPr>
            <w:r>
              <w:rPr>
                <w:rFonts w:hint="eastAsia"/>
                <w:sz w:val="24"/>
                <w:szCs w:val="24"/>
              </w:rPr>
              <w:t>全院富士施乐品牌复印机，含耗材供应、故障维修、巡检保养等</w:t>
            </w:r>
          </w:p>
        </w:tc>
      </w:tr>
      <w:tr w14:paraId="57C2AD28">
        <w:tblPrEx>
          <w:tblCellMar>
            <w:top w:w="0" w:type="dxa"/>
            <w:left w:w="108" w:type="dxa"/>
            <w:bottom w:w="0" w:type="dxa"/>
            <w:right w:w="108" w:type="dxa"/>
          </w:tblCellMar>
        </w:tblPrEx>
        <w:trPr>
          <w:trHeight w:val="370"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45D89D80">
            <w:pPr>
              <w:pStyle w:val="20"/>
              <w:jc w:val="center"/>
              <w:rPr>
                <w:sz w:val="24"/>
                <w:szCs w:val="24"/>
              </w:rPr>
            </w:pPr>
          </w:p>
        </w:tc>
        <w:tc>
          <w:tcPr>
            <w:tcW w:w="1113" w:type="pct"/>
            <w:gridSpan w:val="2"/>
            <w:tcBorders>
              <w:top w:val="single" w:color="000000" w:sz="4" w:space="0"/>
              <w:left w:val="single" w:color="000000" w:sz="4" w:space="0"/>
              <w:bottom w:val="single" w:color="000000" w:sz="4" w:space="0"/>
              <w:right w:val="single" w:color="000000" w:sz="4" w:space="0"/>
            </w:tcBorders>
            <w:vAlign w:val="center"/>
          </w:tcPr>
          <w:p w14:paraId="221F184F">
            <w:pPr>
              <w:pStyle w:val="20"/>
              <w:jc w:val="center"/>
              <w:rPr>
                <w:sz w:val="24"/>
                <w:szCs w:val="24"/>
              </w:rPr>
            </w:pPr>
            <w:r>
              <w:rPr>
                <w:rFonts w:hint="eastAsia"/>
                <w:sz w:val="24"/>
                <w:szCs w:val="24"/>
              </w:rPr>
              <w:t>小计</w:t>
            </w:r>
          </w:p>
        </w:tc>
        <w:tc>
          <w:tcPr>
            <w:tcW w:w="575" w:type="pct"/>
            <w:tcBorders>
              <w:top w:val="single" w:color="000000" w:sz="4" w:space="0"/>
              <w:left w:val="single" w:color="000000" w:sz="4" w:space="0"/>
              <w:bottom w:val="single" w:color="000000" w:sz="4" w:space="0"/>
              <w:right w:val="single" w:color="000000" w:sz="4" w:space="0"/>
            </w:tcBorders>
            <w:vAlign w:val="center"/>
          </w:tcPr>
          <w:p w14:paraId="1DF45C41">
            <w:pPr>
              <w:pStyle w:val="20"/>
              <w:jc w:val="center"/>
              <w:rPr>
                <w:sz w:val="24"/>
                <w:szCs w:val="24"/>
              </w:rPr>
            </w:pPr>
            <w:r>
              <w:rPr>
                <w:sz w:val="24"/>
                <w:szCs w:val="24"/>
              </w:rPr>
              <w:t>1096</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4283DD04">
            <w:pPr>
              <w:pStyle w:val="20"/>
              <w:jc w:val="left"/>
              <w:rPr>
                <w:sz w:val="24"/>
                <w:szCs w:val="24"/>
              </w:rPr>
            </w:pPr>
          </w:p>
        </w:tc>
      </w:tr>
      <w:tr w14:paraId="4BF89026">
        <w:tblPrEx>
          <w:tblCellMar>
            <w:top w:w="0" w:type="dxa"/>
            <w:left w:w="108" w:type="dxa"/>
            <w:bottom w:w="0" w:type="dxa"/>
            <w:right w:w="108" w:type="dxa"/>
          </w:tblCellMar>
        </w:tblPrEx>
        <w:trPr>
          <w:trHeight w:val="1070" w:hRule="atLeast"/>
        </w:trPr>
        <w:tc>
          <w:tcPr>
            <w:tcW w:w="500" w:type="pct"/>
            <w:vMerge w:val="restart"/>
            <w:tcBorders>
              <w:top w:val="single" w:color="000000" w:sz="4" w:space="0"/>
              <w:left w:val="single" w:color="000000" w:sz="4" w:space="0"/>
              <w:bottom w:val="single" w:color="000000" w:sz="4" w:space="0"/>
              <w:right w:val="single" w:color="000000" w:sz="4" w:space="0"/>
            </w:tcBorders>
            <w:vAlign w:val="center"/>
          </w:tcPr>
          <w:p w14:paraId="6279B50A">
            <w:pPr>
              <w:pStyle w:val="20"/>
              <w:jc w:val="center"/>
              <w:rPr>
                <w:sz w:val="24"/>
                <w:szCs w:val="24"/>
              </w:rPr>
            </w:pPr>
            <w:r>
              <w:rPr>
                <w:rFonts w:hint="eastAsia"/>
                <w:sz w:val="24"/>
                <w:szCs w:val="24"/>
              </w:rPr>
              <w:t>移动与外设类</w:t>
            </w:r>
          </w:p>
        </w:tc>
        <w:tc>
          <w:tcPr>
            <w:tcW w:w="375" w:type="pct"/>
            <w:tcBorders>
              <w:top w:val="single" w:color="000000" w:sz="4" w:space="0"/>
              <w:left w:val="single" w:color="000000" w:sz="4" w:space="0"/>
              <w:bottom w:val="single" w:color="000000" w:sz="4" w:space="0"/>
              <w:right w:val="single" w:color="000000" w:sz="4" w:space="0"/>
            </w:tcBorders>
            <w:vAlign w:val="center"/>
          </w:tcPr>
          <w:p w14:paraId="722334D8">
            <w:pPr>
              <w:pStyle w:val="20"/>
              <w:jc w:val="center"/>
              <w:rPr>
                <w:sz w:val="24"/>
                <w:szCs w:val="24"/>
              </w:rPr>
            </w:pPr>
            <w:r>
              <w:rPr>
                <w:sz w:val="24"/>
                <w:szCs w:val="24"/>
              </w:rPr>
              <w:t>18</w:t>
            </w:r>
          </w:p>
        </w:tc>
        <w:tc>
          <w:tcPr>
            <w:tcW w:w="737" w:type="pct"/>
            <w:tcBorders>
              <w:top w:val="single" w:color="000000" w:sz="4" w:space="0"/>
              <w:left w:val="single" w:color="000000" w:sz="4" w:space="0"/>
              <w:bottom w:val="single" w:color="000000" w:sz="4" w:space="0"/>
              <w:right w:val="single" w:color="000000" w:sz="4" w:space="0"/>
            </w:tcBorders>
            <w:vAlign w:val="center"/>
          </w:tcPr>
          <w:p w14:paraId="4BAF381B">
            <w:pPr>
              <w:pStyle w:val="20"/>
              <w:jc w:val="center"/>
              <w:rPr>
                <w:sz w:val="24"/>
                <w:szCs w:val="24"/>
              </w:rPr>
            </w:pPr>
            <w:r>
              <w:rPr>
                <w:sz w:val="24"/>
                <w:szCs w:val="24"/>
              </w:rPr>
              <w:t>PDA</w:t>
            </w:r>
          </w:p>
        </w:tc>
        <w:tc>
          <w:tcPr>
            <w:tcW w:w="575" w:type="pct"/>
            <w:tcBorders>
              <w:top w:val="single" w:color="000000" w:sz="4" w:space="0"/>
              <w:left w:val="single" w:color="000000" w:sz="4" w:space="0"/>
              <w:bottom w:val="single" w:color="000000" w:sz="4" w:space="0"/>
              <w:right w:val="single" w:color="000000" w:sz="4" w:space="0"/>
            </w:tcBorders>
            <w:vAlign w:val="center"/>
          </w:tcPr>
          <w:p w14:paraId="1C08448B">
            <w:pPr>
              <w:pStyle w:val="20"/>
              <w:jc w:val="center"/>
              <w:rPr>
                <w:sz w:val="24"/>
                <w:szCs w:val="24"/>
              </w:rPr>
            </w:pPr>
            <w:r>
              <w:rPr>
                <w:sz w:val="24"/>
                <w:szCs w:val="24"/>
              </w:rPr>
              <w:t>205</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043A4F15">
            <w:pPr>
              <w:pStyle w:val="20"/>
              <w:jc w:val="left"/>
              <w:rPr>
                <w:sz w:val="24"/>
                <w:szCs w:val="24"/>
              </w:rPr>
            </w:pPr>
            <w:r>
              <w:rPr>
                <w:rFonts w:hint="eastAsia"/>
                <w:sz w:val="24"/>
                <w:szCs w:val="24"/>
              </w:rPr>
              <w:t>全院移动护理、移动诊疗用</w:t>
            </w:r>
            <w:r>
              <w:rPr>
                <w:sz w:val="24"/>
                <w:szCs w:val="24"/>
              </w:rPr>
              <w:t xml:space="preserve"> PDA </w:t>
            </w:r>
            <w:r>
              <w:rPr>
                <w:rFonts w:hint="eastAsia"/>
                <w:sz w:val="24"/>
                <w:szCs w:val="24"/>
              </w:rPr>
              <w:t>设备，含系统维护、故障维修、配件更换、巡检保养等</w:t>
            </w:r>
          </w:p>
        </w:tc>
      </w:tr>
      <w:tr w14:paraId="4D590F18">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9BEF280">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4D69D32B">
            <w:pPr>
              <w:pStyle w:val="20"/>
              <w:jc w:val="center"/>
              <w:rPr>
                <w:sz w:val="24"/>
                <w:szCs w:val="24"/>
              </w:rPr>
            </w:pPr>
            <w:r>
              <w:rPr>
                <w:sz w:val="24"/>
                <w:szCs w:val="24"/>
              </w:rPr>
              <w:t>19</w:t>
            </w:r>
          </w:p>
        </w:tc>
        <w:tc>
          <w:tcPr>
            <w:tcW w:w="737" w:type="pct"/>
            <w:tcBorders>
              <w:top w:val="single" w:color="000000" w:sz="4" w:space="0"/>
              <w:left w:val="single" w:color="000000" w:sz="4" w:space="0"/>
              <w:bottom w:val="single" w:color="000000" w:sz="4" w:space="0"/>
              <w:right w:val="single" w:color="000000" w:sz="4" w:space="0"/>
            </w:tcBorders>
            <w:vAlign w:val="center"/>
          </w:tcPr>
          <w:p w14:paraId="6FD6FB13">
            <w:pPr>
              <w:pStyle w:val="20"/>
              <w:jc w:val="center"/>
              <w:rPr>
                <w:sz w:val="24"/>
                <w:szCs w:val="24"/>
              </w:rPr>
            </w:pPr>
            <w:r>
              <w:rPr>
                <w:rFonts w:hint="eastAsia"/>
                <w:sz w:val="24"/>
                <w:szCs w:val="24"/>
              </w:rPr>
              <w:t>读卡器</w:t>
            </w:r>
          </w:p>
        </w:tc>
        <w:tc>
          <w:tcPr>
            <w:tcW w:w="575" w:type="pct"/>
            <w:tcBorders>
              <w:top w:val="single" w:color="000000" w:sz="4" w:space="0"/>
              <w:left w:val="single" w:color="000000" w:sz="4" w:space="0"/>
              <w:bottom w:val="single" w:color="000000" w:sz="4" w:space="0"/>
              <w:right w:val="single" w:color="000000" w:sz="4" w:space="0"/>
            </w:tcBorders>
            <w:vAlign w:val="center"/>
          </w:tcPr>
          <w:p w14:paraId="256AFBAB">
            <w:pPr>
              <w:pStyle w:val="20"/>
              <w:jc w:val="center"/>
              <w:rPr>
                <w:sz w:val="24"/>
                <w:szCs w:val="24"/>
              </w:rPr>
            </w:pPr>
            <w:r>
              <w:rPr>
                <w:sz w:val="24"/>
                <w:szCs w:val="24"/>
              </w:rPr>
              <w:t>26</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14459B07">
            <w:pPr>
              <w:pStyle w:val="20"/>
              <w:jc w:val="left"/>
              <w:rPr>
                <w:sz w:val="24"/>
                <w:szCs w:val="24"/>
              </w:rPr>
            </w:pPr>
            <w:r>
              <w:rPr>
                <w:rFonts w:hint="eastAsia"/>
                <w:sz w:val="24"/>
                <w:szCs w:val="24"/>
              </w:rPr>
              <w:t>全院就诊卡、身份证读卡器等设备，含故障维修、配件更换等</w:t>
            </w:r>
          </w:p>
        </w:tc>
      </w:tr>
      <w:tr w14:paraId="60FFF05E">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CA4E45B">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0CD972B2">
            <w:pPr>
              <w:pStyle w:val="20"/>
              <w:jc w:val="center"/>
              <w:rPr>
                <w:sz w:val="24"/>
                <w:szCs w:val="24"/>
              </w:rPr>
            </w:pPr>
            <w:r>
              <w:rPr>
                <w:sz w:val="24"/>
                <w:szCs w:val="24"/>
              </w:rPr>
              <w:t>20</w:t>
            </w:r>
          </w:p>
        </w:tc>
        <w:tc>
          <w:tcPr>
            <w:tcW w:w="737" w:type="pct"/>
            <w:tcBorders>
              <w:top w:val="single" w:color="000000" w:sz="4" w:space="0"/>
              <w:left w:val="single" w:color="000000" w:sz="4" w:space="0"/>
              <w:bottom w:val="single" w:color="000000" w:sz="4" w:space="0"/>
              <w:right w:val="single" w:color="000000" w:sz="4" w:space="0"/>
            </w:tcBorders>
            <w:vAlign w:val="center"/>
          </w:tcPr>
          <w:p w14:paraId="0D11BF0E">
            <w:pPr>
              <w:pStyle w:val="20"/>
              <w:jc w:val="center"/>
              <w:rPr>
                <w:sz w:val="24"/>
                <w:szCs w:val="24"/>
              </w:rPr>
            </w:pPr>
            <w:r>
              <w:rPr>
                <w:rFonts w:hint="eastAsia"/>
                <w:sz w:val="24"/>
                <w:szCs w:val="24"/>
              </w:rPr>
              <w:t>手麻一体机</w:t>
            </w:r>
          </w:p>
        </w:tc>
        <w:tc>
          <w:tcPr>
            <w:tcW w:w="575" w:type="pct"/>
            <w:tcBorders>
              <w:top w:val="single" w:color="000000" w:sz="4" w:space="0"/>
              <w:left w:val="single" w:color="000000" w:sz="4" w:space="0"/>
              <w:bottom w:val="single" w:color="000000" w:sz="4" w:space="0"/>
              <w:right w:val="single" w:color="000000" w:sz="4" w:space="0"/>
            </w:tcBorders>
            <w:vAlign w:val="center"/>
          </w:tcPr>
          <w:p w14:paraId="7CDB2BE3">
            <w:pPr>
              <w:pStyle w:val="20"/>
              <w:jc w:val="center"/>
              <w:rPr>
                <w:sz w:val="24"/>
                <w:szCs w:val="24"/>
              </w:rPr>
            </w:pPr>
            <w:r>
              <w:rPr>
                <w:sz w:val="24"/>
                <w:szCs w:val="24"/>
              </w:rPr>
              <w:t>23</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7F2F9F51">
            <w:pPr>
              <w:pStyle w:val="20"/>
              <w:jc w:val="left"/>
              <w:rPr>
                <w:sz w:val="24"/>
                <w:szCs w:val="24"/>
              </w:rPr>
            </w:pPr>
            <w:r>
              <w:rPr>
                <w:rFonts w:hint="eastAsia"/>
                <w:sz w:val="24"/>
                <w:szCs w:val="24"/>
              </w:rPr>
              <w:t>手术室手麻一体机设备，含系统维护、故障维修、巡检保养等</w:t>
            </w:r>
          </w:p>
        </w:tc>
      </w:tr>
      <w:tr w14:paraId="76C834F3">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55B52F6C">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22E923F1">
            <w:pPr>
              <w:pStyle w:val="20"/>
              <w:jc w:val="center"/>
              <w:rPr>
                <w:sz w:val="24"/>
                <w:szCs w:val="24"/>
              </w:rPr>
            </w:pPr>
            <w:r>
              <w:rPr>
                <w:sz w:val="24"/>
                <w:szCs w:val="24"/>
              </w:rPr>
              <w:t>21</w:t>
            </w:r>
          </w:p>
        </w:tc>
        <w:tc>
          <w:tcPr>
            <w:tcW w:w="737" w:type="pct"/>
            <w:tcBorders>
              <w:top w:val="single" w:color="000000" w:sz="4" w:space="0"/>
              <w:left w:val="single" w:color="000000" w:sz="4" w:space="0"/>
              <w:bottom w:val="single" w:color="000000" w:sz="4" w:space="0"/>
              <w:right w:val="single" w:color="000000" w:sz="4" w:space="0"/>
            </w:tcBorders>
            <w:vAlign w:val="center"/>
          </w:tcPr>
          <w:p w14:paraId="6514A8FE">
            <w:pPr>
              <w:pStyle w:val="20"/>
              <w:jc w:val="center"/>
              <w:rPr>
                <w:sz w:val="24"/>
                <w:szCs w:val="24"/>
              </w:rPr>
            </w:pPr>
            <w:r>
              <w:rPr>
                <w:rFonts w:hint="eastAsia"/>
                <w:sz w:val="24"/>
                <w:szCs w:val="24"/>
              </w:rPr>
              <w:t>扫描仪</w:t>
            </w:r>
          </w:p>
        </w:tc>
        <w:tc>
          <w:tcPr>
            <w:tcW w:w="575" w:type="pct"/>
            <w:tcBorders>
              <w:top w:val="single" w:color="000000" w:sz="4" w:space="0"/>
              <w:left w:val="single" w:color="000000" w:sz="4" w:space="0"/>
              <w:bottom w:val="single" w:color="000000" w:sz="4" w:space="0"/>
              <w:right w:val="single" w:color="000000" w:sz="4" w:space="0"/>
            </w:tcBorders>
            <w:vAlign w:val="center"/>
          </w:tcPr>
          <w:p w14:paraId="64A40D4F">
            <w:pPr>
              <w:pStyle w:val="20"/>
              <w:jc w:val="center"/>
              <w:rPr>
                <w:sz w:val="24"/>
                <w:szCs w:val="24"/>
              </w:rPr>
            </w:pPr>
            <w:r>
              <w:rPr>
                <w:sz w:val="24"/>
                <w:szCs w:val="24"/>
              </w:rPr>
              <w:t>14</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049F8544">
            <w:pPr>
              <w:pStyle w:val="20"/>
              <w:jc w:val="left"/>
              <w:rPr>
                <w:sz w:val="24"/>
                <w:szCs w:val="24"/>
              </w:rPr>
            </w:pPr>
            <w:r>
              <w:rPr>
                <w:rFonts w:hint="eastAsia"/>
                <w:sz w:val="24"/>
                <w:szCs w:val="24"/>
              </w:rPr>
              <w:t>全院文档、病历扫描设备，含故障维修、配件更换、巡检保养等</w:t>
            </w:r>
          </w:p>
        </w:tc>
      </w:tr>
      <w:tr w14:paraId="522A80D8">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9A457C4">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30C80665">
            <w:pPr>
              <w:pStyle w:val="20"/>
              <w:jc w:val="center"/>
              <w:rPr>
                <w:sz w:val="24"/>
                <w:szCs w:val="24"/>
              </w:rPr>
            </w:pPr>
            <w:r>
              <w:rPr>
                <w:sz w:val="24"/>
                <w:szCs w:val="24"/>
              </w:rPr>
              <w:t>22</w:t>
            </w:r>
          </w:p>
        </w:tc>
        <w:tc>
          <w:tcPr>
            <w:tcW w:w="737" w:type="pct"/>
            <w:tcBorders>
              <w:top w:val="single" w:color="000000" w:sz="4" w:space="0"/>
              <w:left w:val="single" w:color="000000" w:sz="4" w:space="0"/>
              <w:bottom w:val="single" w:color="000000" w:sz="4" w:space="0"/>
              <w:right w:val="single" w:color="000000" w:sz="4" w:space="0"/>
            </w:tcBorders>
            <w:vAlign w:val="center"/>
          </w:tcPr>
          <w:p w14:paraId="04AA24D7">
            <w:pPr>
              <w:pStyle w:val="20"/>
              <w:jc w:val="center"/>
              <w:rPr>
                <w:sz w:val="24"/>
                <w:szCs w:val="24"/>
              </w:rPr>
            </w:pPr>
            <w:r>
              <w:rPr>
                <w:rFonts w:hint="eastAsia"/>
                <w:sz w:val="24"/>
                <w:szCs w:val="24"/>
              </w:rPr>
              <w:t>报价器</w:t>
            </w:r>
          </w:p>
        </w:tc>
        <w:tc>
          <w:tcPr>
            <w:tcW w:w="575" w:type="pct"/>
            <w:tcBorders>
              <w:top w:val="single" w:color="000000" w:sz="4" w:space="0"/>
              <w:left w:val="single" w:color="000000" w:sz="4" w:space="0"/>
              <w:bottom w:val="single" w:color="000000" w:sz="4" w:space="0"/>
              <w:right w:val="single" w:color="000000" w:sz="4" w:space="0"/>
            </w:tcBorders>
            <w:vAlign w:val="center"/>
          </w:tcPr>
          <w:p w14:paraId="0E53FEE9">
            <w:pPr>
              <w:pStyle w:val="20"/>
              <w:jc w:val="center"/>
              <w:rPr>
                <w:sz w:val="24"/>
                <w:szCs w:val="24"/>
              </w:rPr>
            </w:pPr>
            <w:r>
              <w:rPr>
                <w:sz w:val="24"/>
                <w:szCs w:val="24"/>
              </w:rPr>
              <w:t>15</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4766E9F7">
            <w:pPr>
              <w:pStyle w:val="20"/>
              <w:jc w:val="left"/>
              <w:rPr>
                <w:sz w:val="24"/>
                <w:szCs w:val="24"/>
              </w:rPr>
            </w:pPr>
            <w:r>
              <w:rPr>
                <w:rFonts w:hint="eastAsia"/>
                <w:sz w:val="24"/>
                <w:szCs w:val="24"/>
              </w:rPr>
              <w:t>药房、收费室报价器设备，含故障维修、配件更换等</w:t>
            </w:r>
          </w:p>
        </w:tc>
      </w:tr>
      <w:tr w14:paraId="5B0D24F4">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39DCFAF">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18355806">
            <w:pPr>
              <w:pStyle w:val="20"/>
              <w:jc w:val="center"/>
              <w:rPr>
                <w:sz w:val="24"/>
                <w:szCs w:val="24"/>
              </w:rPr>
            </w:pPr>
            <w:r>
              <w:rPr>
                <w:sz w:val="24"/>
                <w:szCs w:val="24"/>
              </w:rPr>
              <w:t>23</w:t>
            </w:r>
          </w:p>
        </w:tc>
        <w:tc>
          <w:tcPr>
            <w:tcW w:w="737" w:type="pct"/>
            <w:tcBorders>
              <w:top w:val="single" w:color="000000" w:sz="4" w:space="0"/>
              <w:left w:val="single" w:color="000000" w:sz="4" w:space="0"/>
              <w:bottom w:val="single" w:color="000000" w:sz="4" w:space="0"/>
              <w:right w:val="single" w:color="000000" w:sz="4" w:space="0"/>
            </w:tcBorders>
            <w:vAlign w:val="center"/>
          </w:tcPr>
          <w:p w14:paraId="517EA3CA">
            <w:pPr>
              <w:pStyle w:val="20"/>
              <w:jc w:val="center"/>
              <w:rPr>
                <w:sz w:val="24"/>
                <w:szCs w:val="24"/>
              </w:rPr>
            </w:pPr>
            <w:r>
              <w:rPr>
                <w:rFonts w:hint="eastAsia"/>
                <w:sz w:val="24"/>
                <w:szCs w:val="24"/>
              </w:rPr>
              <w:t>播报器</w:t>
            </w:r>
          </w:p>
        </w:tc>
        <w:tc>
          <w:tcPr>
            <w:tcW w:w="575" w:type="pct"/>
            <w:tcBorders>
              <w:top w:val="single" w:color="000000" w:sz="4" w:space="0"/>
              <w:left w:val="single" w:color="000000" w:sz="4" w:space="0"/>
              <w:bottom w:val="single" w:color="000000" w:sz="4" w:space="0"/>
              <w:right w:val="single" w:color="000000" w:sz="4" w:space="0"/>
            </w:tcBorders>
            <w:vAlign w:val="center"/>
          </w:tcPr>
          <w:p w14:paraId="025E4C69">
            <w:pPr>
              <w:pStyle w:val="20"/>
              <w:jc w:val="center"/>
              <w:rPr>
                <w:sz w:val="24"/>
                <w:szCs w:val="24"/>
              </w:rPr>
            </w:pPr>
            <w:r>
              <w:rPr>
                <w:sz w:val="24"/>
                <w:szCs w:val="24"/>
              </w:rPr>
              <w:t>15</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76A60B51">
            <w:pPr>
              <w:pStyle w:val="20"/>
              <w:jc w:val="left"/>
              <w:rPr>
                <w:sz w:val="24"/>
                <w:szCs w:val="24"/>
              </w:rPr>
            </w:pPr>
            <w:r>
              <w:rPr>
                <w:rFonts w:hint="eastAsia"/>
                <w:sz w:val="24"/>
                <w:szCs w:val="24"/>
              </w:rPr>
              <w:t>收费、药房播报器设备，含故障维修、配件更换等</w:t>
            </w:r>
          </w:p>
        </w:tc>
      </w:tr>
      <w:tr w14:paraId="086EFDF2">
        <w:tblPrEx>
          <w:tblCellMar>
            <w:top w:w="0" w:type="dxa"/>
            <w:left w:w="108" w:type="dxa"/>
            <w:bottom w:w="0" w:type="dxa"/>
            <w:right w:w="108" w:type="dxa"/>
          </w:tblCellMar>
        </w:tblPrEx>
        <w:trPr>
          <w:trHeight w:val="700"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224F7F3B">
            <w:pPr>
              <w:pStyle w:val="20"/>
              <w:jc w:val="center"/>
              <w:rPr>
                <w:sz w:val="24"/>
                <w:szCs w:val="24"/>
              </w:rPr>
            </w:pPr>
          </w:p>
        </w:tc>
        <w:tc>
          <w:tcPr>
            <w:tcW w:w="375" w:type="pct"/>
            <w:tcBorders>
              <w:top w:val="single" w:color="000000" w:sz="4" w:space="0"/>
              <w:left w:val="single" w:color="000000" w:sz="4" w:space="0"/>
              <w:bottom w:val="single" w:color="000000" w:sz="4" w:space="0"/>
              <w:right w:val="single" w:color="000000" w:sz="4" w:space="0"/>
            </w:tcBorders>
            <w:vAlign w:val="center"/>
          </w:tcPr>
          <w:p w14:paraId="5ED0C510">
            <w:pPr>
              <w:pStyle w:val="20"/>
              <w:jc w:val="center"/>
              <w:rPr>
                <w:sz w:val="24"/>
                <w:szCs w:val="24"/>
              </w:rPr>
            </w:pPr>
            <w:r>
              <w:rPr>
                <w:sz w:val="24"/>
                <w:szCs w:val="24"/>
              </w:rPr>
              <w:t>24</w:t>
            </w:r>
          </w:p>
        </w:tc>
        <w:tc>
          <w:tcPr>
            <w:tcW w:w="737" w:type="pct"/>
            <w:tcBorders>
              <w:top w:val="single" w:color="000000" w:sz="4" w:space="0"/>
              <w:left w:val="single" w:color="000000" w:sz="4" w:space="0"/>
              <w:bottom w:val="single" w:color="000000" w:sz="4" w:space="0"/>
              <w:right w:val="single" w:color="000000" w:sz="4" w:space="0"/>
            </w:tcBorders>
            <w:vAlign w:val="center"/>
          </w:tcPr>
          <w:p w14:paraId="0A24CD5C">
            <w:pPr>
              <w:pStyle w:val="20"/>
              <w:jc w:val="center"/>
              <w:rPr>
                <w:sz w:val="24"/>
                <w:szCs w:val="24"/>
              </w:rPr>
            </w:pPr>
            <w:r>
              <w:rPr>
                <w:rFonts w:hint="eastAsia"/>
                <w:sz w:val="24"/>
                <w:szCs w:val="24"/>
              </w:rPr>
              <w:t>碎纸机</w:t>
            </w:r>
          </w:p>
        </w:tc>
        <w:tc>
          <w:tcPr>
            <w:tcW w:w="575" w:type="pct"/>
            <w:tcBorders>
              <w:top w:val="single" w:color="000000" w:sz="4" w:space="0"/>
              <w:left w:val="single" w:color="000000" w:sz="4" w:space="0"/>
              <w:bottom w:val="single" w:color="000000" w:sz="4" w:space="0"/>
              <w:right w:val="single" w:color="000000" w:sz="4" w:space="0"/>
            </w:tcBorders>
            <w:vAlign w:val="center"/>
          </w:tcPr>
          <w:p w14:paraId="40E6EE08">
            <w:pPr>
              <w:pStyle w:val="20"/>
              <w:jc w:val="center"/>
              <w:rPr>
                <w:sz w:val="24"/>
                <w:szCs w:val="24"/>
              </w:rPr>
            </w:pPr>
            <w:r>
              <w:rPr>
                <w:sz w:val="24"/>
                <w:szCs w:val="24"/>
              </w:rPr>
              <w:t>5</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764677CE">
            <w:pPr>
              <w:pStyle w:val="20"/>
              <w:jc w:val="left"/>
              <w:rPr>
                <w:sz w:val="24"/>
                <w:szCs w:val="24"/>
              </w:rPr>
            </w:pPr>
            <w:r>
              <w:rPr>
                <w:rFonts w:hint="eastAsia"/>
                <w:sz w:val="24"/>
                <w:szCs w:val="24"/>
              </w:rPr>
              <w:t>全院办公用碎纸机，含故障维修、配件更换等</w:t>
            </w:r>
          </w:p>
        </w:tc>
      </w:tr>
      <w:tr w14:paraId="72566658">
        <w:tblPrEx>
          <w:tblCellMar>
            <w:top w:w="0" w:type="dxa"/>
            <w:left w:w="108" w:type="dxa"/>
            <w:bottom w:w="0" w:type="dxa"/>
            <w:right w:w="108" w:type="dxa"/>
          </w:tblCellMar>
        </w:tblPrEx>
        <w:trPr>
          <w:trHeight w:val="370"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2510D3CE">
            <w:pPr>
              <w:pStyle w:val="20"/>
              <w:jc w:val="center"/>
              <w:rPr>
                <w:sz w:val="24"/>
                <w:szCs w:val="24"/>
              </w:rPr>
            </w:pPr>
          </w:p>
        </w:tc>
        <w:tc>
          <w:tcPr>
            <w:tcW w:w="1113" w:type="pct"/>
            <w:gridSpan w:val="2"/>
            <w:tcBorders>
              <w:top w:val="single" w:color="000000" w:sz="4" w:space="0"/>
              <w:left w:val="single" w:color="000000" w:sz="4" w:space="0"/>
              <w:bottom w:val="single" w:color="000000" w:sz="4" w:space="0"/>
              <w:right w:val="single" w:color="000000" w:sz="4" w:space="0"/>
            </w:tcBorders>
            <w:vAlign w:val="center"/>
          </w:tcPr>
          <w:p w14:paraId="119A43BB">
            <w:pPr>
              <w:pStyle w:val="20"/>
              <w:jc w:val="center"/>
              <w:rPr>
                <w:sz w:val="24"/>
                <w:szCs w:val="24"/>
              </w:rPr>
            </w:pPr>
            <w:r>
              <w:rPr>
                <w:rFonts w:hint="eastAsia"/>
                <w:sz w:val="24"/>
                <w:szCs w:val="24"/>
              </w:rPr>
              <w:t>小计</w:t>
            </w:r>
          </w:p>
        </w:tc>
        <w:tc>
          <w:tcPr>
            <w:tcW w:w="575" w:type="pct"/>
            <w:tcBorders>
              <w:top w:val="single" w:color="000000" w:sz="4" w:space="0"/>
              <w:left w:val="single" w:color="000000" w:sz="4" w:space="0"/>
              <w:bottom w:val="single" w:color="000000" w:sz="4" w:space="0"/>
              <w:right w:val="single" w:color="000000" w:sz="4" w:space="0"/>
            </w:tcBorders>
            <w:vAlign w:val="center"/>
          </w:tcPr>
          <w:p w14:paraId="662511C2">
            <w:pPr>
              <w:pStyle w:val="20"/>
              <w:jc w:val="center"/>
              <w:rPr>
                <w:sz w:val="24"/>
                <w:szCs w:val="24"/>
              </w:rPr>
            </w:pPr>
            <w:r>
              <w:rPr>
                <w:sz w:val="24"/>
                <w:szCs w:val="24"/>
              </w:rPr>
              <w:t>302</w:t>
            </w:r>
            <w:r>
              <w:rPr>
                <w:rFonts w:hint="eastAsia"/>
                <w:sz w:val="24"/>
                <w:szCs w:val="24"/>
              </w:rPr>
              <w:t>台</w:t>
            </w:r>
          </w:p>
        </w:tc>
        <w:tc>
          <w:tcPr>
            <w:tcW w:w="2811" w:type="pct"/>
            <w:tcBorders>
              <w:top w:val="single" w:color="000000" w:sz="4" w:space="0"/>
              <w:left w:val="single" w:color="000000" w:sz="4" w:space="0"/>
              <w:bottom w:val="single" w:color="000000" w:sz="4" w:space="0"/>
              <w:right w:val="single" w:color="000000" w:sz="4" w:space="0"/>
            </w:tcBorders>
            <w:vAlign w:val="center"/>
          </w:tcPr>
          <w:p w14:paraId="37271B7D">
            <w:pPr>
              <w:pStyle w:val="20"/>
              <w:jc w:val="left"/>
              <w:rPr>
                <w:sz w:val="24"/>
                <w:szCs w:val="24"/>
              </w:rPr>
            </w:pPr>
          </w:p>
        </w:tc>
      </w:tr>
      <w:tr w14:paraId="6C86FFCD">
        <w:tblPrEx>
          <w:tblCellMar>
            <w:top w:w="0" w:type="dxa"/>
            <w:left w:w="108" w:type="dxa"/>
            <w:bottom w:w="0" w:type="dxa"/>
            <w:right w:w="108" w:type="dxa"/>
          </w:tblCellMar>
        </w:tblPrEx>
        <w:trPr>
          <w:trHeight w:val="740" w:hRule="atLeast"/>
        </w:trPr>
        <w:tc>
          <w:tcPr>
            <w:tcW w:w="500" w:type="pct"/>
            <w:tcBorders>
              <w:top w:val="single" w:color="000000" w:sz="4" w:space="0"/>
              <w:left w:val="single" w:color="000000" w:sz="4" w:space="0"/>
              <w:bottom w:val="single" w:color="000000" w:sz="4" w:space="0"/>
              <w:right w:val="single" w:color="000000" w:sz="4" w:space="0"/>
            </w:tcBorders>
            <w:vAlign w:val="center"/>
          </w:tcPr>
          <w:p w14:paraId="77A1394C">
            <w:pPr>
              <w:pStyle w:val="20"/>
              <w:jc w:val="center"/>
              <w:rPr>
                <w:sz w:val="24"/>
                <w:szCs w:val="24"/>
              </w:rPr>
            </w:pPr>
          </w:p>
        </w:tc>
        <w:tc>
          <w:tcPr>
            <w:tcW w:w="1113" w:type="pct"/>
            <w:gridSpan w:val="2"/>
            <w:tcBorders>
              <w:top w:val="single" w:color="000000" w:sz="4" w:space="0"/>
              <w:left w:val="single" w:color="000000" w:sz="4" w:space="0"/>
              <w:bottom w:val="single" w:color="000000" w:sz="4" w:space="0"/>
              <w:right w:val="single" w:color="000000" w:sz="4" w:space="0"/>
            </w:tcBorders>
            <w:vAlign w:val="center"/>
          </w:tcPr>
          <w:p w14:paraId="7F201835">
            <w:pPr>
              <w:pStyle w:val="20"/>
              <w:jc w:val="center"/>
              <w:rPr>
                <w:sz w:val="24"/>
                <w:szCs w:val="24"/>
              </w:rPr>
            </w:pPr>
            <w:r>
              <w:rPr>
                <w:rFonts w:hint="eastAsia"/>
                <w:sz w:val="24"/>
                <w:szCs w:val="24"/>
              </w:rPr>
              <w:t>合计</w:t>
            </w:r>
          </w:p>
        </w:tc>
        <w:tc>
          <w:tcPr>
            <w:tcW w:w="575" w:type="pct"/>
            <w:tcBorders>
              <w:top w:val="single" w:color="000000" w:sz="4" w:space="0"/>
              <w:left w:val="single" w:color="000000" w:sz="4" w:space="0"/>
              <w:bottom w:val="single" w:color="000000" w:sz="4" w:space="0"/>
              <w:right w:val="single" w:color="000000" w:sz="4" w:space="0"/>
            </w:tcBorders>
            <w:vAlign w:val="center"/>
          </w:tcPr>
          <w:p w14:paraId="0D4DB659">
            <w:pPr>
              <w:pStyle w:val="20"/>
              <w:jc w:val="center"/>
              <w:rPr>
                <w:sz w:val="24"/>
                <w:szCs w:val="24"/>
              </w:rPr>
            </w:pPr>
            <w:r>
              <w:rPr>
                <w:sz w:val="24"/>
                <w:szCs w:val="24"/>
              </w:rPr>
              <w:t>3829</w:t>
            </w:r>
            <w:r>
              <w:rPr>
                <w:rFonts w:hint="eastAsia"/>
                <w:sz w:val="24"/>
                <w:szCs w:val="24"/>
              </w:rPr>
              <w:t>台</w:t>
            </w:r>
            <w:r>
              <w:rPr>
                <w:sz w:val="24"/>
                <w:szCs w:val="24"/>
              </w:rPr>
              <w:t>/</w:t>
            </w:r>
            <w:r>
              <w:rPr>
                <w:rFonts w:hint="eastAsia"/>
                <w:sz w:val="24"/>
                <w:szCs w:val="24"/>
              </w:rPr>
              <w:t>套</w:t>
            </w:r>
          </w:p>
        </w:tc>
        <w:tc>
          <w:tcPr>
            <w:tcW w:w="2811" w:type="pct"/>
            <w:tcBorders>
              <w:top w:val="single" w:color="000000" w:sz="4" w:space="0"/>
              <w:left w:val="single" w:color="000000" w:sz="4" w:space="0"/>
              <w:bottom w:val="single" w:color="000000" w:sz="4" w:space="0"/>
              <w:right w:val="single" w:color="000000" w:sz="4" w:space="0"/>
            </w:tcBorders>
            <w:vAlign w:val="center"/>
          </w:tcPr>
          <w:p w14:paraId="79592901">
            <w:pPr>
              <w:pStyle w:val="20"/>
              <w:jc w:val="left"/>
              <w:rPr>
                <w:sz w:val="24"/>
                <w:szCs w:val="24"/>
              </w:rPr>
            </w:pPr>
            <w:r>
              <w:rPr>
                <w:rFonts w:hint="eastAsia"/>
                <w:sz w:val="24"/>
                <w:szCs w:val="24"/>
              </w:rPr>
              <w:t>全院所有终端设备全覆盖</w:t>
            </w:r>
          </w:p>
        </w:tc>
      </w:tr>
    </w:tbl>
    <w:p w14:paraId="214EC3E7">
      <w:pPr>
        <w:pStyle w:val="13"/>
        <w:rPr>
          <w:rFonts w:hint="eastAsia"/>
          <w:lang w:val="en-US" w:eastAsia="zh-CN"/>
        </w:rPr>
      </w:pPr>
    </w:p>
    <w:p w14:paraId="0463A297">
      <w:pPr>
        <w:pStyle w:val="13"/>
        <w:ind w:firstLine="560" w:firstLineChars="200"/>
        <w:rPr>
          <w:rFonts w:hint="eastAsia"/>
          <w:lang w:val="en-US" w:eastAsia="zh-CN"/>
        </w:rPr>
      </w:pPr>
      <w:r>
        <w:rPr>
          <w:rFonts w:hint="eastAsia" w:ascii="宋体" w:hAnsi="宋体" w:eastAsia="宋体" w:cs="黑体"/>
          <w:kern w:val="2"/>
          <w:sz w:val="28"/>
          <w:szCs w:val="28"/>
          <w:lang w:val="en-US" w:eastAsia="zh-CN" w:bidi="ar-SA"/>
          <w14:ligatures w14:val="standardContextual"/>
        </w:rPr>
        <w:t>本项目运维范围同时覆盖上述所有终端设备所需的全品类耗材、配件供应，除普通打印纸张外，所有终端正常运转所需的耗材、配件均纳入本次运维范围。</w:t>
      </w:r>
    </w:p>
    <w:p w14:paraId="6BE465F1">
      <w:pPr>
        <w:pStyle w:val="13"/>
        <w:rPr>
          <w:rFonts w:hint="eastAsia"/>
          <w:lang w:val="en-US" w:eastAsia="zh-CN"/>
        </w:rPr>
      </w:pPr>
    </w:p>
    <w:p w14:paraId="5885B318">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（二）核心服务内容要求</w:t>
      </w:r>
    </w:p>
    <w:p w14:paraId="68044E2B">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项目采用一站式、全额包干的一体化运维服务模式，核心运维内容包括耗材供应服务、终端运维服务、终端设备提供服务、信息化运维管理服务、其他配套服务等核心板块，同时涵盖服务质量考核、保密管理、人员管理等配套服务内容，具体如下。</w:t>
      </w:r>
    </w:p>
    <w:p w14:paraId="7BB5F905">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b w:val="0"/>
          <w:bCs w:val="0"/>
          <w:kern w:val="2"/>
          <w:sz w:val="28"/>
          <w:szCs w:val="28"/>
          <w:lang w:val="en-US" w:eastAsia="zh-CN" w:bidi="ar-SA"/>
          <w14:ligatures w14:val="standardContextual"/>
        </w:rPr>
      </w:pPr>
      <w:r>
        <w:rPr>
          <w:rFonts w:hint="eastAsia" w:ascii="宋体" w:hAnsi="宋体" w:eastAsia="宋体" w:cs="黑体"/>
          <w:b w:val="0"/>
          <w:bCs w:val="0"/>
          <w:kern w:val="2"/>
          <w:sz w:val="28"/>
          <w:szCs w:val="28"/>
          <w:lang w:val="en-US" w:eastAsia="zh-CN" w:bidi="ar-SA"/>
          <w14:ligatures w14:val="standardContextual"/>
        </w:rPr>
        <w:t>1.耗材供应服务</w:t>
      </w:r>
    </w:p>
    <w:p w14:paraId="0D8EE60C">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本项目耗材供应服务采用全额包干模式，除普通打印纸张外，全院终端正常运转所需的所有耗材、配件均由服务商免费提供，所有费用均包含在项目报价内，医院不再额外支付任何费用，具体服务内容如下：</w:t>
      </w:r>
    </w:p>
    <w:p w14:paraId="7693EAA5">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全品类耗材/配件供应：提供全院终端设备所需的硒鼓、墨盒、墨水、色带、色带架、标签贴、各类定制纸品、首页纸、相片纸、身份证卡纸、彩喷纸等打印耗材，同时提供键盘、鼠标、条码扫描枪、各类网线、水晶头、交换机、路由器、各终端设备维修配件等全品类配件，具体品类以医院提供的耗材清单为准，同时覆盖服务期内新增的终端设备所需耗材。</w:t>
      </w:r>
    </w:p>
    <w:p w14:paraId="1D0AAC8C">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耗材质量管控：所有耗材须为原厂正品、全新产品，具有产品合格证，符合国家相关质量标准，严禁对耗材进行二次灌粉，杜绝提供任何假冒伪劣产品；黑白打印/复印输出需满足“实心黑线、字迹清晰、排版整齐、内容校对无误、单张品质一致”要求，彩色打印需校色准确，色彩还原度符合设备出厂标准，可清晰分辨不同色块，所有打印纸张不得出现黑边、黑线、漏印、重影等非文档内容的瑕疵，满足各科室打印需求零投诉。</w:t>
      </w:r>
    </w:p>
    <w:p w14:paraId="073DBFFA">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耗材检测与更换：配合医院及检测机构针对所提供的耗材产品进行不定期质量检验，检验费用由服务商自行承担；若所供耗材品牌、型号无法满足约定质量标准，引发打印质量不达标、设备配件不兼容等问题，服务商需在规定时限内免费更换适配的耗材品牌及型号，确保满足医院使用需求。</w:t>
      </w:r>
    </w:p>
    <w:p w14:paraId="18144E2E">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耗材配送服务：建立7×24小时耗材应急配送机制，常规耗材需求 20 分钟内送达科室现场，应急情况下 24 小时随叫随到，确保无因耗材短缺导致的业务中断。</w:t>
      </w:r>
    </w:p>
    <w:p w14:paraId="32AEF4CE">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b/>
          <w:bCs/>
          <w:kern w:val="2"/>
          <w:sz w:val="28"/>
          <w:szCs w:val="28"/>
          <w:lang w:val="en-US" w:eastAsia="zh-CN" w:bidi="ar-SA"/>
          <w14:ligatures w14:val="standardContextual"/>
        </w:rPr>
      </w:pPr>
      <w:r>
        <w:rPr>
          <w:rFonts w:hint="eastAsia" w:ascii="宋体" w:hAnsi="宋体" w:eastAsia="宋体" w:cs="黑体"/>
          <w:b w:val="0"/>
          <w:bCs w:val="0"/>
          <w:kern w:val="2"/>
          <w:sz w:val="28"/>
          <w:szCs w:val="28"/>
          <w:lang w:val="en-US" w:eastAsia="zh-CN" w:bidi="ar-SA"/>
          <w14:ligatures w14:val="standardContextual"/>
        </w:rPr>
        <w:t>2.终端运维服务</w:t>
      </w:r>
    </w:p>
    <w:p w14:paraId="02C04364">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负责全院所有纳入运维范围的终端设备的全生命周期运维服务，所有运维过程中产生的人工、配件、服务等全部费用均包含在项目报价内，医院不再额外支付任何费用，具体服务内容如下：</w:t>
      </w:r>
    </w:p>
    <w:p w14:paraId="60440504">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设备安装调试服务：负责全院所有终端设备的安装、调试、网络接入及初始配置，包括新设备部署、设备拆机、移机等服务，确保设备正常接入医院网络与业务系统，满足科室使用需求。</w:t>
      </w:r>
    </w:p>
    <w:p w14:paraId="73800A47">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系统与软件运维服务：对医院所有电脑提供操作系统安装、激活、补丁更新、安全加固服务，提供办公软件、临床业务应用软件的安装、调试、维护、升级服务，确保软件与医院业务系统兼容适配，稳定运行。</w:t>
      </w:r>
    </w:p>
    <w:p w14:paraId="056F0E3A">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故障维修与配件更换服务：负责全院所有终端设备的故障诊断、维修服务，负责全院所有的普通网络布线，维修以及布线过程中所有需要的零配件更换均由服务商免费提供，自行承担所有费用；针对无法现场维修的设备，提供备用机兜底保障，确保科室业务不中断。</w:t>
      </w:r>
    </w:p>
    <w:p w14:paraId="00C56DAD">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巡检与预防性保养服务：建立三级巡检保养机制，每月对所有相关设备进行巡检，输出巡检报告，及时发现系统、设备存在的隐患与漏洞，向医院提出书面整改报告，共同完成隐患整改；每季度开展一次现场常规检修；每半年进行一次全面深度维护，对系统、设备进行预防性维护，排除系统隐患，解决设备故障，延长设备使用寿命。</w:t>
      </w:r>
    </w:p>
    <w:p w14:paraId="0FA149A2">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驻场运维服务：按照医院要求配置足额驻场运维团队，设立24小时专用报修电话，提供7×24小时不间断运维服务，严格执行医院规定的响应、到场、修复时效要求，服从医院管理，遵守医院规章制度。</w:t>
      </w:r>
    </w:p>
    <w:p w14:paraId="1339FD97">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3.终端设备提供服务</w:t>
      </w:r>
    </w:p>
    <w:p w14:paraId="229AED3D">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根据医院各科室实际业务需求，免费提供终端输出硬件设备、常用耗材、维修配件及日常维护服务，具体内容如下：</w:t>
      </w:r>
    </w:p>
    <w:p w14:paraId="6A0CCA0D">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设备免费增补与替换：服务期内，因设备损耗、功能升级、科室业务新增、科室布局调整等产生的设备增补或替换需求，均由服务商免费提供设备进行增补、替换，自行承担相关成本，医院不再另行支付任何费用。</w:t>
      </w:r>
    </w:p>
    <w:p w14:paraId="1F1BA50F">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设备部署时效要求：所有增补、替换的设备，需确保在3个工作日内全部安装调试完成，部署到科室指定位置，确保可正常投入使用。</w:t>
      </w:r>
    </w:p>
    <w:p w14:paraId="6B62FB4F">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设备测试与验收：服务商所提供的所有终端设备，需先通过医院信息科的功能、性能、兼容性测试，测试通过后方可到临床科室进行替换、部署，确保设备符合医院临床诊疗与办公使用要求。</w:t>
      </w:r>
    </w:p>
    <w:p w14:paraId="2C673562">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4.信息化运维管理服务</w:t>
      </w:r>
    </w:p>
    <w:p w14:paraId="2636FC02">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服务商需免费提供一套完整的终端设备管理软件，实现全院终端运维的数字化、规范化管理，同时完成与医院现有运维管理系统的对接，具体服务内容如下：</w:t>
      </w:r>
    </w:p>
    <w:p w14:paraId="5B810D33">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管理系统功能要求：提供的终端设备管理软件需包含运维报修管理、资产耗材管理、巡检管理、打印机监控管理等核心功能；配套提供移动端（APP/微信小程序），支持移动端扫码故障报修、工单受理登记服务，确保软硬件故障工单登记率100%。</w:t>
      </w:r>
    </w:p>
    <w:p w14:paraId="3107F08C">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系统对接要求：提供的终端设备管理软件需与医院现有运维管理系统进行无缝对接，实现全院运维工作的统一监管；本项目范围内所有接口开发、调试、兼容性测试费用均包含在项目报价内，由服务商自行承担；医院不提供任何第三方接口软件及技术支持，如因设备对接需要产生的第三方系统改造、接口授权、中间件采购等额外费用，均由服务商自行承担，医院不支付任何相关费用。</w:t>
      </w:r>
    </w:p>
    <w:p w14:paraId="3E8C0367">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系统运维与升级：负责终端设备管理软件的日常运维、版本升级、安全加固服务，确保系统7×24小时稳定运行，所有相关费用均包含在项目报价内。</w:t>
      </w:r>
    </w:p>
    <w:p w14:paraId="43F4DE88">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5.其他配套服务</w:t>
      </w:r>
    </w:p>
    <w:p w14:paraId="1C82D372">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服务质量考核配合：接受医院每月一次的服务质量考核、每季度一次的科室满意度调查，考核结果直接与服务费支付挂钩；按照医院要求每月提交管理报告，包括但不限于设备清单、耗材清单、各类问题处理记录、维修保养记录、改善建议等，每季度同步提交满意度调查记录。</w:t>
      </w:r>
    </w:p>
    <w:p w14:paraId="7667CA2E">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整改与履约配合：针对医院提出的整改意见，在规定时限内完成整改，达到医院服务要求；如连续两个月服务质量考核不合格，接受医院单方面解除合同的相关约定。</w:t>
      </w:r>
    </w:p>
    <w:p w14:paraId="1A926F04">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保密与安全服务：严格遵守国家相关法律法规与医院保密管理制度，对服务过程中获悉的医院所有信息，包括但不限于患者信息、医疗数据、业务信息、财务信息等进行严格保密，不得自行使用或提供给他人使用；签订合同时同步签订保密协议和安全承诺，如发生信息泄露或擅自使用信息造成损失的，承担相应的民事赔偿责任与法律责任。</w:t>
      </w:r>
    </w:p>
    <w:p w14:paraId="509068A2">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cs="黑体"/>
          <w:kern w:val="2"/>
          <w:sz w:val="28"/>
          <w:szCs w:val="28"/>
          <w:lang w:val="en-US" w:eastAsia="zh-CN" w:bidi="ar-SA"/>
          <w14:ligatures w14:val="standardContextual"/>
        </w:rPr>
      </w:pPr>
      <w:r>
        <w:rPr>
          <w:rFonts w:hint="default" w:ascii="宋体" w:hAnsi="宋体" w:eastAsia="宋体" w:cs="黑体"/>
          <w:kern w:val="2"/>
          <w:sz w:val="28"/>
          <w:szCs w:val="28"/>
          <w:lang w:val="en-US" w:eastAsia="zh-CN" w:bidi="ar-SA"/>
          <w14:ligatures w14:val="standardContextual"/>
        </w:rPr>
        <w:t>全费用兜底：本项目所涉及的所有服务，包括人员薪酬福利、办公场所及设施、保险、劳保、管理、各种税费、利润、税金、政策性文件规定及所有风险、责任等各项应有费用，以及为完成本项目服务所涉及到的一切相关费用，均包含在项目报价内，医院不再支付其他任何费用。</w:t>
      </w:r>
    </w:p>
    <w:p w14:paraId="1FD5051B">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（三）服务管理要求</w:t>
      </w:r>
    </w:p>
    <w:p w14:paraId="77CCDE29">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1.服务模式</w:t>
      </w:r>
    </w:p>
    <w:p w14:paraId="166A64B4">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本项目采用全额包干式全外包运维服务模式，同时配套固定驻场 +应急支援相结合的服务模式，具体如下：</w:t>
      </w:r>
    </w:p>
    <w:p w14:paraId="66DF022E">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核心服务模式：全额包干全外包运维本项目将全院终端一体化运维服务整体外包给专业的第三方运维服务商，采用全额包干模式，服务商按照项目需求，承担全院终端设备运维、耗材供应、设备增补、系统建设、人员配置、安全保密等全部工作，自行承担项目全周期内产生的所有成本、费用与风险，医院按照合同约定进行服务考核与费用支付，不承担任何额外费用。</w:t>
      </w:r>
    </w:p>
    <w:p w14:paraId="1435A3EE">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服务交付模式：固定驻场+应急支援双保障</w:t>
      </w:r>
    </w:p>
    <w:p w14:paraId="17E48781">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固定驻场服务：服务商派驻固定的运维团队驻场服务，驻场团队配置严格满足医院要求，至少配置1名工单受理专员和3名驻场运维工程师，负责全院的日常运维保障工作，工作时间与医院信息科上班时间同步，节假日至少保证1名运维工程师驻场，提供7×24小时不间断服务。</w:t>
      </w:r>
    </w:p>
    <w:p w14:paraId="4EC3BDDA">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应急支援服务：服务商建立后台应急支援团队，针对重大故障、大规模设备故障、重大医疗保障任务等应急场景，提供远程+现场的应急支援服务，补充驻场团队能力，确保应急场景下业务不中断。</w:t>
      </w:r>
    </w:p>
    <w:p w14:paraId="276E44B9">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2.管理模式</w:t>
      </w:r>
    </w:p>
    <w:p w14:paraId="66F11004">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医院统一监管+医院信息科牵头管理并行模式，负责对服务商的服务质量、履约情况进行日常监督、月度考核、年度评估，提出整改要求与管理意见；服务商按照合同约定与医院要求，建立完善的运维管理体系，闭环执行各项运维服务工作，定期向医院汇报运维工作情况，接受医院的监督与考核。</w:t>
      </w:r>
    </w:p>
    <w:p w14:paraId="19D3973A">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（四）运维周期</w:t>
      </w:r>
    </w:p>
    <w:p w14:paraId="667D8992">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本项目运维周期原则上为3年，自合同签订生效之日起计算，以自然年为一个年度运维周期，分为3个年度运维周期。</w:t>
      </w:r>
    </w:p>
    <w:p w14:paraId="344FBC18">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第一年度运维周期：合同生效之日起12个月</w:t>
      </w:r>
    </w:p>
    <w:p w14:paraId="6716A87A">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第二年度运维周期：合同生效第13个月至24个月</w:t>
      </w:r>
    </w:p>
    <w:p w14:paraId="1CC45F05">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黑体"/>
          <w:kern w:val="2"/>
          <w:sz w:val="28"/>
          <w:szCs w:val="28"/>
          <w:lang w:val="en-US" w:eastAsia="zh-CN" w:bidi="ar-SA"/>
          <w14:ligatures w14:val="standardContextual"/>
        </w:rPr>
      </w:pPr>
      <w:r>
        <w:rPr>
          <w:rFonts w:hint="eastAsia" w:ascii="宋体" w:hAnsi="宋体" w:eastAsia="宋体" w:cs="黑体"/>
          <w:kern w:val="2"/>
          <w:sz w:val="28"/>
          <w:szCs w:val="28"/>
          <w:lang w:val="en-US" w:eastAsia="zh-CN" w:bidi="ar-SA"/>
          <w14:ligatures w14:val="standardContextual"/>
        </w:rPr>
        <w:t>第三年度运维周期：合同生效第25个月至36个月</w:t>
      </w:r>
    </w:p>
    <w:p w14:paraId="4747D4F7">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宋体" w:hAnsi="宋体" w:eastAsia="宋体"/>
          <w:b w:val="0"/>
          <w:bCs w:val="0"/>
          <w:sz w:val="24"/>
          <w:szCs w:val="24"/>
          <w:lang w:val="en-US" w:eastAsia="zh-CN"/>
          <w14:ligatures w14:val="standardContextual"/>
        </w:rPr>
      </w:pPr>
      <w:r>
        <w:rPr>
          <w:rFonts w:hint="eastAsia" w:ascii="宋体" w:hAnsi="宋体" w:eastAsia="宋体" w:cs="黑体"/>
          <w:kern w:val="2"/>
          <w:sz w:val="28"/>
          <w:szCs w:val="28"/>
          <w:lang w:val="en-US" w:eastAsia="zh-CN" w:bidi="ar-SA"/>
          <w14:ligatures w14:val="standardContextual"/>
        </w:rPr>
        <w:t>每个年度运维周期结束后，医院对服务商年度服务质量进行综合评估，评估合格的，继续履行下一年度合同；评估不合格的，医院有权按照合同约定终止合同。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51C6B"/>
    <w:multiLevelType w:val="multilevel"/>
    <w:tmpl w:val="15451C6B"/>
    <w:lvl w:ilvl="0" w:tentative="0">
      <w:start w:val="1"/>
      <w:numFmt w:val="decimal"/>
      <w:lvlText w:val="%1"/>
      <w:lvlJc w:val="left"/>
      <w:pPr>
        <w:ind w:left="936" w:hanging="936"/>
      </w:pPr>
      <w:rPr>
        <w:rFonts w:hint="default"/>
      </w:rPr>
    </w:lvl>
    <w:lvl w:ilvl="1" w:tentative="0">
      <w:start w:val="1"/>
      <w:numFmt w:val="decimal"/>
      <w:pStyle w:val="16"/>
      <w:lvlText w:val="%1.%2"/>
      <w:lvlJc w:val="left"/>
      <w:pPr>
        <w:ind w:left="936" w:hanging="936"/>
      </w:pPr>
      <w:rPr>
        <w:rFonts w:hint="default"/>
      </w:rPr>
    </w:lvl>
    <w:lvl w:ilvl="2" w:tentative="0">
      <w:start w:val="1"/>
      <w:numFmt w:val="decimal"/>
      <w:pStyle w:val="17"/>
      <w:lvlText w:val="%1.%2.%3"/>
      <w:lvlJc w:val="left"/>
      <w:pPr>
        <w:ind w:left="936" w:hanging="936"/>
      </w:pPr>
      <w:rPr>
        <w:rFonts w:hint="default"/>
      </w:rPr>
    </w:lvl>
    <w:lvl w:ilvl="3" w:tentative="0">
      <w:start w:val="1"/>
      <w:numFmt w:val="decimal"/>
      <w:lvlText w:val="%1.%2.%3.%4"/>
      <w:lvlJc w:val="left"/>
      <w:pPr>
        <w:ind w:left="936" w:hanging="936"/>
      </w:pPr>
      <w:rPr>
        <w:b w:val="0"/>
        <w:bCs w:val="0"/>
        <w:i w:val="0"/>
        <w:iCs w:val="0"/>
        <w:caps w:val="0"/>
        <w:smallCaps w:val="0"/>
        <w:strike w:val="0"/>
        <w:dstrike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1224" w:hanging="1224"/>
      </w:pPr>
      <w:rPr>
        <w:rFonts w:hint="default"/>
      </w:rPr>
    </w:lvl>
    <w:lvl w:ilvl="5" w:tentative="0">
      <w:start w:val="1"/>
      <w:numFmt w:val="decimal"/>
      <w:lvlText w:val="%1.%2.%3.%4.%5.%6."/>
      <w:lvlJc w:val="left"/>
      <w:pPr>
        <w:ind w:left="1224" w:hanging="1224"/>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2ZkZTJjNjgwZmE0NzlhYWVjMWE2OWVhOWRmNDUifQ=="/>
  </w:docVars>
  <w:rsids>
    <w:rsidRoot w:val="5A800868"/>
    <w:rsid w:val="027126A7"/>
    <w:rsid w:val="03FC1FF2"/>
    <w:rsid w:val="04575F38"/>
    <w:rsid w:val="05807E94"/>
    <w:rsid w:val="07CB4548"/>
    <w:rsid w:val="099B35CC"/>
    <w:rsid w:val="0BE90018"/>
    <w:rsid w:val="0C673C16"/>
    <w:rsid w:val="0DDA7292"/>
    <w:rsid w:val="0E552AD4"/>
    <w:rsid w:val="0F6519C3"/>
    <w:rsid w:val="0F89531E"/>
    <w:rsid w:val="0FB06D28"/>
    <w:rsid w:val="1054157E"/>
    <w:rsid w:val="1112142C"/>
    <w:rsid w:val="119A52CC"/>
    <w:rsid w:val="11E3705D"/>
    <w:rsid w:val="12D544CC"/>
    <w:rsid w:val="13847DDB"/>
    <w:rsid w:val="14CF422A"/>
    <w:rsid w:val="1721656B"/>
    <w:rsid w:val="18AA3637"/>
    <w:rsid w:val="18BE4D3C"/>
    <w:rsid w:val="197A3758"/>
    <w:rsid w:val="1A186104"/>
    <w:rsid w:val="1B0F7752"/>
    <w:rsid w:val="1BA9598B"/>
    <w:rsid w:val="1BB50563"/>
    <w:rsid w:val="1BD34584"/>
    <w:rsid w:val="1BEA3561"/>
    <w:rsid w:val="1E193E07"/>
    <w:rsid w:val="1E3E66A3"/>
    <w:rsid w:val="1F223F05"/>
    <w:rsid w:val="1FCA5A43"/>
    <w:rsid w:val="21410295"/>
    <w:rsid w:val="243F04F5"/>
    <w:rsid w:val="24580DB5"/>
    <w:rsid w:val="27115D03"/>
    <w:rsid w:val="281F28D7"/>
    <w:rsid w:val="28BA7F95"/>
    <w:rsid w:val="29C14946"/>
    <w:rsid w:val="29EC33EA"/>
    <w:rsid w:val="2A574CBE"/>
    <w:rsid w:val="2A7051A6"/>
    <w:rsid w:val="2B222487"/>
    <w:rsid w:val="2CD4312E"/>
    <w:rsid w:val="2DB815CA"/>
    <w:rsid w:val="302F43DB"/>
    <w:rsid w:val="316B0829"/>
    <w:rsid w:val="334F5D6A"/>
    <w:rsid w:val="336F5A8B"/>
    <w:rsid w:val="354E217C"/>
    <w:rsid w:val="360C4614"/>
    <w:rsid w:val="36845444"/>
    <w:rsid w:val="37217B5C"/>
    <w:rsid w:val="373157E5"/>
    <w:rsid w:val="377E104E"/>
    <w:rsid w:val="37D059C0"/>
    <w:rsid w:val="3B851FEA"/>
    <w:rsid w:val="3C7713BE"/>
    <w:rsid w:val="3EC040FF"/>
    <w:rsid w:val="3F4F3E8E"/>
    <w:rsid w:val="3FDB25A7"/>
    <w:rsid w:val="3FFC2685"/>
    <w:rsid w:val="3FFD5592"/>
    <w:rsid w:val="40477AD3"/>
    <w:rsid w:val="404869FA"/>
    <w:rsid w:val="40490456"/>
    <w:rsid w:val="408B0837"/>
    <w:rsid w:val="41742F7F"/>
    <w:rsid w:val="42B5384F"/>
    <w:rsid w:val="43492645"/>
    <w:rsid w:val="439F77F0"/>
    <w:rsid w:val="43C61E80"/>
    <w:rsid w:val="44A1052F"/>
    <w:rsid w:val="47450E00"/>
    <w:rsid w:val="49883A6B"/>
    <w:rsid w:val="4A1315F5"/>
    <w:rsid w:val="4A235542"/>
    <w:rsid w:val="4C673E0C"/>
    <w:rsid w:val="4C834257"/>
    <w:rsid w:val="4CE5633F"/>
    <w:rsid w:val="4D632A1B"/>
    <w:rsid w:val="4E0D3F4C"/>
    <w:rsid w:val="4F276252"/>
    <w:rsid w:val="502F378D"/>
    <w:rsid w:val="506B379F"/>
    <w:rsid w:val="51864D34"/>
    <w:rsid w:val="519C1734"/>
    <w:rsid w:val="51B32E0E"/>
    <w:rsid w:val="530D168E"/>
    <w:rsid w:val="53287A63"/>
    <w:rsid w:val="53B37AAF"/>
    <w:rsid w:val="54484C12"/>
    <w:rsid w:val="549F00F1"/>
    <w:rsid w:val="55DC6F81"/>
    <w:rsid w:val="56BE166B"/>
    <w:rsid w:val="57FB1FEC"/>
    <w:rsid w:val="5A800868"/>
    <w:rsid w:val="5AB04526"/>
    <w:rsid w:val="5B2048E1"/>
    <w:rsid w:val="5B377672"/>
    <w:rsid w:val="5B98317F"/>
    <w:rsid w:val="5BE80399"/>
    <w:rsid w:val="5C644D05"/>
    <w:rsid w:val="5CAC79D8"/>
    <w:rsid w:val="5DE5115A"/>
    <w:rsid w:val="5E4D64CD"/>
    <w:rsid w:val="5E543537"/>
    <w:rsid w:val="5FA16C3A"/>
    <w:rsid w:val="5FC66C44"/>
    <w:rsid w:val="60673F83"/>
    <w:rsid w:val="63234DAE"/>
    <w:rsid w:val="65053FDE"/>
    <w:rsid w:val="651B422F"/>
    <w:rsid w:val="65E25CF5"/>
    <w:rsid w:val="667B3D91"/>
    <w:rsid w:val="66AD05D5"/>
    <w:rsid w:val="67661699"/>
    <w:rsid w:val="67B973AF"/>
    <w:rsid w:val="68BC3EF8"/>
    <w:rsid w:val="69482477"/>
    <w:rsid w:val="69BF2078"/>
    <w:rsid w:val="6B620540"/>
    <w:rsid w:val="6B983776"/>
    <w:rsid w:val="6BCC7D70"/>
    <w:rsid w:val="6D1B696C"/>
    <w:rsid w:val="6D683FC5"/>
    <w:rsid w:val="6E453572"/>
    <w:rsid w:val="6EF81A16"/>
    <w:rsid w:val="6F64590C"/>
    <w:rsid w:val="6FE94689"/>
    <w:rsid w:val="6FEE2E6D"/>
    <w:rsid w:val="704621F2"/>
    <w:rsid w:val="70C62C79"/>
    <w:rsid w:val="70F02BAB"/>
    <w:rsid w:val="714B11BF"/>
    <w:rsid w:val="71CF5843"/>
    <w:rsid w:val="72696330"/>
    <w:rsid w:val="72BA3B3A"/>
    <w:rsid w:val="72C372A9"/>
    <w:rsid w:val="73701B9B"/>
    <w:rsid w:val="74640AAD"/>
    <w:rsid w:val="75453515"/>
    <w:rsid w:val="76CD38F2"/>
    <w:rsid w:val="79CA08A3"/>
    <w:rsid w:val="7A24483B"/>
    <w:rsid w:val="7A94376E"/>
    <w:rsid w:val="7B035D41"/>
    <w:rsid w:val="7B3D7962"/>
    <w:rsid w:val="7C544C02"/>
    <w:rsid w:val="7CF47EF5"/>
    <w:rsid w:val="7EBE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b/>
      <w:sz w:val="2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tabs>
        <w:tab w:val="left" w:pos="360"/>
      </w:tabs>
      <w:spacing w:after="0" w:line="240" w:lineRule="auto"/>
      <w:ind w:left="360" w:hanging="360"/>
    </w:pPr>
    <w:rPr>
      <w:rFonts w:cs="Segoe UI"/>
      <w:szCs w:val="18"/>
    </w:rPr>
  </w:style>
  <w:style w:type="paragraph" w:styleId="6">
    <w:name w:val="footer"/>
    <w:basedOn w:val="1"/>
    <w:unhideWhenUsed/>
    <w:qFormat/>
    <w:uiPriority w:val="99"/>
    <w:pPr>
      <w:tabs>
        <w:tab w:val="center" w:pos="4680"/>
        <w:tab w:val="right" w:pos="9360"/>
      </w:tabs>
      <w:spacing w:before="0" w:after="0" w:line="240" w:lineRule="auto"/>
    </w:pPr>
    <w:rPr>
      <w:color w:val="808080" w:themeColor="background1" w:themeShade="80"/>
      <w:sz w:val="16"/>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unhideWhenUsed/>
    <w:qFormat/>
    <w:uiPriority w:val="99"/>
    <w:pPr>
      <w:widowControl w:val="0"/>
      <w:spacing w:before="0" w:after="120" w:line="360" w:lineRule="auto"/>
      <w:ind w:left="0" w:firstLine="420" w:firstLineChars="100"/>
      <w:jc w:val="both"/>
    </w:pPr>
    <w:rPr>
      <w:rFonts w:ascii="Arial" w:hAnsi="Arial" w:eastAsia="宋体" w:cs="Times New Roman"/>
      <w:kern w:val="2"/>
      <w:sz w:val="24"/>
      <w:szCs w:val="24"/>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_Style 3"/>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4">
    <w:name w:val="标题 5（有编号）（绿盟科技）"/>
    <w:basedOn w:val="1"/>
    <w:next w:val="15"/>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15">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16">
    <w:name w:val="Heading 2 (Numbered)"/>
    <w:basedOn w:val="1"/>
    <w:next w:val="1"/>
    <w:qFormat/>
    <w:uiPriority w:val="2"/>
    <w:pPr>
      <w:keepNext/>
      <w:keepLines/>
      <w:numPr>
        <w:ilvl w:val="1"/>
        <w:numId w:val="2"/>
      </w:numPr>
      <w:tabs>
        <w:tab w:val="left" w:pos="1152"/>
      </w:tabs>
      <w:spacing w:before="360" w:after="240" w:line="240" w:lineRule="auto"/>
      <w:outlineLvl w:val="1"/>
    </w:pPr>
    <w:rPr>
      <w:rFonts w:eastAsiaTheme="minorHAnsi"/>
      <w:color w:val="008AC8"/>
      <w:sz w:val="32"/>
      <w:szCs w:val="36"/>
    </w:rPr>
  </w:style>
  <w:style w:type="paragraph" w:customStyle="1" w:styleId="17">
    <w:name w:val="Heading 3 (Numbered)"/>
    <w:basedOn w:val="1"/>
    <w:next w:val="1"/>
    <w:qFormat/>
    <w:uiPriority w:val="2"/>
    <w:pPr>
      <w:keepNext/>
      <w:keepLines/>
      <w:numPr>
        <w:ilvl w:val="2"/>
        <w:numId w:val="2"/>
      </w:numPr>
      <w:tabs>
        <w:tab w:val="left" w:pos="1152"/>
      </w:tabs>
      <w:spacing w:before="240" w:after="240" w:line="240" w:lineRule="auto"/>
      <w:outlineLvl w:val="2"/>
    </w:pPr>
    <w:rPr>
      <w:rFonts w:eastAsiaTheme="minorHAnsi"/>
      <w:color w:val="008AC8"/>
      <w:sz w:val="28"/>
      <w:szCs w:val="28"/>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List Paragraph"/>
    <w:basedOn w:val="1"/>
    <w:qFormat/>
    <w:uiPriority w:val="34"/>
    <w:pPr>
      <w:spacing w:after="160" w:line="278" w:lineRule="auto"/>
      <w:ind w:left="720"/>
      <w:contextualSpacing/>
      <w:jc w:val="left"/>
    </w:pPr>
    <w:rPr>
      <w:rFonts w:eastAsiaTheme="minorEastAsia"/>
      <w:sz w:val="22"/>
      <w14:ligatures w14:val="standardContextual"/>
    </w:rPr>
  </w:style>
  <w:style w:type="paragraph" w:customStyle="1" w:styleId="20">
    <w:name w:val="表格"/>
    <w:basedOn w:val="1"/>
    <w:qFormat/>
    <w:uiPriority w:val="0"/>
    <w:pPr>
      <w:spacing w:line="360" w:lineRule="auto"/>
      <w:jc w:val="left"/>
    </w:pPr>
    <w:rPr>
      <w:rFonts w:ascii="Calibri" w:hAnsi="Calibri" w:eastAsia="仿宋"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4918</Words>
  <Characters>5004</Characters>
  <Lines>0</Lines>
  <Paragraphs>0</Paragraphs>
  <TotalTime>2</TotalTime>
  <ScaleCrop>false</ScaleCrop>
  <LinksUpToDate>false</LinksUpToDate>
  <CharactersWithSpaces>5013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2024-03-26T07:53:00Z</dcterms:created>
  <dc:creator>宣</dc:creator>
  <cp:lastModifiedBy>Baron</cp:lastModifiedBy>
  <cp:lastPrinted>2026-04-22T08:55:00Z</cp:lastPrinted>
  <dcterms:modified xsi:type="dcterms:W3CDTF">2026-05-07T06:37:28Z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7758FF56C6444239828AEF9A530CDA76_12</vt:lpwstr>
  </property>
  <property fmtid="{D5CDD505-2E9C-101B-9397-08002B2CF9AE}" pid="4" name="KSOTemplateDocerSaveRecord">
    <vt:lpwstr>eyJoZGlkIjoiY2U1MzY2NjkzMDAwYzVmYTFhNzQxZTA0ODUwNTBjNDciLCJ1c2VySWQiOiIyMzYyNDUwOTcifQ==</vt:lpwstr>
  </property>
</Properties>
</file>