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omments.xml" ContentType="application/vnd.openxmlformats-officedocument.wordprocessingml.comments+xml"/>
  <Override PartName="/word/commentsExtended.xml" ContentType="application/vnd.openxmlformats-officedocument.wordprocessingml.commentsExtended+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07AE49">
      <w:pPr>
        <w:spacing w:after="60"/>
      </w:pPr>
      <w:r>
        <w:rPr>
          <w:rFonts w:hint="eastAsia"/>
        </w:rPr>
        <w:t>合同编号：</w:t>
      </w:r>
    </w:p>
    <w:tbl>
      <w:tblPr>
        <w:tblStyle w:val="11"/>
        <w:tblW w:w="283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4"/>
        <w:gridCol w:w="354"/>
        <w:gridCol w:w="354"/>
        <w:gridCol w:w="354"/>
        <w:gridCol w:w="354"/>
        <w:gridCol w:w="354"/>
        <w:gridCol w:w="354"/>
        <w:gridCol w:w="355"/>
      </w:tblGrid>
      <w:tr w14:paraId="31841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trPr>
        <w:tc>
          <w:tcPr>
            <w:tcW w:w="354" w:type="dxa"/>
            <w:vAlign w:val="center"/>
          </w:tcPr>
          <w:p w14:paraId="4BC7AFA4">
            <w:pPr>
              <w:jc w:val="center"/>
              <w:rPr>
                <w:szCs w:val="28"/>
              </w:rPr>
            </w:pPr>
            <w:r>
              <w:rPr>
                <w:rFonts w:hint="eastAsia"/>
                <w:szCs w:val="28"/>
              </w:rPr>
              <w:t>2</w:t>
            </w:r>
          </w:p>
        </w:tc>
        <w:tc>
          <w:tcPr>
            <w:tcW w:w="354" w:type="dxa"/>
            <w:vAlign w:val="center"/>
          </w:tcPr>
          <w:p w14:paraId="732A14B8">
            <w:pPr>
              <w:jc w:val="center"/>
              <w:rPr>
                <w:szCs w:val="28"/>
              </w:rPr>
            </w:pPr>
            <w:r>
              <w:rPr>
                <w:rFonts w:hint="eastAsia"/>
                <w:szCs w:val="28"/>
              </w:rPr>
              <w:t>0</w:t>
            </w:r>
          </w:p>
        </w:tc>
        <w:tc>
          <w:tcPr>
            <w:tcW w:w="354" w:type="dxa"/>
            <w:vAlign w:val="center"/>
          </w:tcPr>
          <w:p w14:paraId="68D45E72">
            <w:pPr>
              <w:jc w:val="center"/>
              <w:rPr>
                <w:szCs w:val="28"/>
              </w:rPr>
            </w:pPr>
          </w:p>
        </w:tc>
        <w:tc>
          <w:tcPr>
            <w:tcW w:w="354" w:type="dxa"/>
            <w:vAlign w:val="center"/>
          </w:tcPr>
          <w:p w14:paraId="199990B3">
            <w:pPr>
              <w:jc w:val="center"/>
              <w:rPr>
                <w:szCs w:val="28"/>
              </w:rPr>
            </w:pPr>
          </w:p>
        </w:tc>
        <w:tc>
          <w:tcPr>
            <w:tcW w:w="354" w:type="dxa"/>
            <w:vAlign w:val="center"/>
          </w:tcPr>
          <w:p w14:paraId="3495E069">
            <w:pPr>
              <w:jc w:val="center"/>
              <w:rPr>
                <w:szCs w:val="28"/>
              </w:rPr>
            </w:pPr>
            <w:r>
              <w:rPr>
                <w:rFonts w:hint="eastAsia"/>
                <w:szCs w:val="28"/>
              </w:rPr>
              <w:t>-</w:t>
            </w:r>
          </w:p>
        </w:tc>
        <w:tc>
          <w:tcPr>
            <w:tcW w:w="354" w:type="dxa"/>
            <w:vAlign w:val="center"/>
          </w:tcPr>
          <w:p w14:paraId="16517AE7">
            <w:pPr>
              <w:jc w:val="center"/>
              <w:rPr>
                <w:szCs w:val="28"/>
              </w:rPr>
            </w:pPr>
            <w:r>
              <w:rPr>
                <w:rFonts w:hint="eastAsia"/>
                <w:szCs w:val="28"/>
              </w:rPr>
              <w:t>0</w:t>
            </w:r>
          </w:p>
        </w:tc>
        <w:tc>
          <w:tcPr>
            <w:tcW w:w="354" w:type="dxa"/>
            <w:vAlign w:val="center"/>
          </w:tcPr>
          <w:p w14:paraId="2494E9B5">
            <w:pPr>
              <w:jc w:val="center"/>
              <w:rPr>
                <w:szCs w:val="28"/>
              </w:rPr>
            </w:pPr>
          </w:p>
        </w:tc>
        <w:tc>
          <w:tcPr>
            <w:tcW w:w="355" w:type="dxa"/>
            <w:vAlign w:val="center"/>
          </w:tcPr>
          <w:p w14:paraId="7B3624C5">
            <w:pPr>
              <w:jc w:val="center"/>
              <w:rPr>
                <w:szCs w:val="28"/>
              </w:rPr>
            </w:pPr>
          </w:p>
        </w:tc>
      </w:tr>
    </w:tbl>
    <w:p w14:paraId="43FDDCAB">
      <w:pPr>
        <w:jc w:val="center"/>
        <w:rPr>
          <w:rFonts w:ascii="黑体" w:hAnsi="黑体" w:eastAsia="黑体" w:cs="黑体"/>
          <w:b/>
          <w:bCs/>
          <w:sz w:val="32"/>
        </w:rPr>
      </w:pPr>
      <w:r>
        <w:rPr>
          <w:rFonts w:hint="eastAsia" w:ascii="黑体" w:hAnsi="黑体" w:eastAsia="黑体" w:cs="黑体"/>
          <w:b/>
          <w:bCs/>
          <w:sz w:val="32"/>
        </w:rPr>
        <w:t>药物临床试验两方主合同</w:t>
      </w:r>
      <w:commentRangeStart w:id="0"/>
      <w:r>
        <w:rPr>
          <w:rFonts w:hint="eastAsia" w:ascii="黑体" w:hAnsi="黑体" w:eastAsia="黑体" w:cs="黑体"/>
          <w:b/>
          <w:bCs/>
          <w:sz w:val="32"/>
        </w:rPr>
        <w:t>（模板）</w:t>
      </w:r>
      <w:commentRangeEnd w:id="0"/>
      <w:r>
        <w:rPr>
          <w:rFonts w:hint="eastAsia" w:ascii="黑体" w:hAnsi="黑体" w:eastAsia="黑体" w:cs="黑体"/>
          <w:b/>
          <w:bCs/>
        </w:rPr>
        <w:commentReference w:id="0"/>
      </w:r>
    </w:p>
    <w:p w14:paraId="12F92B75">
      <w:pPr>
        <w:spacing w:line="360" w:lineRule="auto"/>
        <w:jc w:val="left"/>
        <w:rPr>
          <w:b/>
          <w:sz w:val="24"/>
          <w:u w:val="single"/>
        </w:rPr>
      </w:pPr>
      <w:r>
        <w:rPr>
          <w:b/>
          <w:sz w:val="24"/>
        </w:rPr>
        <w:t>项目名称</w:t>
      </w:r>
      <w:r>
        <w:rPr>
          <w:rFonts w:hint="eastAsia"/>
          <w:b/>
          <w:sz w:val="24"/>
        </w:rPr>
        <w:t>：</w:t>
      </w:r>
      <w:r>
        <w:rPr>
          <w:b/>
          <w:sz w:val="24"/>
          <w:u w:val="single"/>
        </w:rPr>
        <w:t>×××××××××××××××××××××××××××××××××</w:t>
      </w:r>
    </w:p>
    <w:p w14:paraId="2B1FFC01">
      <w:pPr>
        <w:spacing w:line="360" w:lineRule="auto"/>
        <w:rPr>
          <w:b/>
          <w:szCs w:val="28"/>
        </w:rPr>
      </w:pPr>
    </w:p>
    <w:tbl>
      <w:tblPr>
        <w:tblStyle w:val="12"/>
        <w:tblW w:w="9292"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9292"/>
      </w:tblGrid>
      <w:tr w14:paraId="1595E59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292" w:type="dxa"/>
          </w:tcPr>
          <w:p w14:paraId="70080F22">
            <w:pPr>
              <w:spacing w:line="360" w:lineRule="auto"/>
              <w:rPr>
                <w:b/>
                <w:szCs w:val="21"/>
              </w:rPr>
            </w:pPr>
            <w:r>
              <w:rPr>
                <w:rFonts w:hint="eastAsia"/>
                <w:b/>
                <w:szCs w:val="21"/>
              </w:rPr>
              <w:t xml:space="preserve">试验药品名称：                                   规格：                </w:t>
            </w:r>
          </w:p>
          <w:p w14:paraId="442B21C0">
            <w:pPr>
              <w:spacing w:line="360" w:lineRule="auto"/>
              <w:rPr>
                <w:b/>
                <w:szCs w:val="21"/>
              </w:rPr>
            </w:pPr>
            <w:r>
              <w:rPr>
                <w:rFonts w:hint="eastAsia"/>
                <w:b/>
                <w:szCs w:val="21"/>
              </w:rPr>
              <w:t>CFDA批件号：          注册分类：               注册国家：</w:t>
            </w:r>
          </w:p>
          <w:p w14:paraId="41E5FF7D">
            <w:pPr>
              <w:spacing w:line="360" w:lineRule="auto"/>
              <w:rPr>
                <w:b/>
                <w:szCs w:val="21"/>
              </w:rPr>
            </w:pPr>
            <w:r>
              <w:rPr>
                <w:rFonts w:hint="eastAsia"/>
                <w:b/>
                <w:szCs w:val="21"/>
              </w:rPr>
              <w:t>试验类别：□国际多中心（代码          ）  □国内多中心    □单中心</w:t>
            </w:r>
          </w:p>
          <w:p w14:paraId="2A48A9D0">
            <w:pPr>
              <w:spacing w:line="360" w:lineRule="auto"/>
              <w:rPr>
                <w:b/>
                <w:szCs w:val="21"/>
              </w:rPr>
            </w:pPr>
            <w:r>
              <w:rPr>
                <w:rFonts w:hint="eastAsia"/>
                <w:b/>
                <w:szCs w:val="21"/>
              </w:rPr>
              <w:t xml:space="preserve">试验分期：□Ⅱ期   □Ⅲ期   □Ⅳ期   □其他 </w:t>
            </w:r>
          </w:p>
          <w:p w14:paraId="70AA5B62">
            <w:pPr>
              <w:spacing w:line="360" w:lineRule="auto"/>
              <w:rPr>
                <w:b/>
                <w:szCs w:val="21"/>
              </w:rPr>
            </w:pPr>
            <w:r>
              <w:rPr>
                <w:b/>
                <w:szCs w:val="21"/>
              </w:rPr>
              <w:t>试验药物</w:t>
            </w:r>
            <w:r>
              <w:rPr>
                <w:rFonts w:hint="eastAsia"/>
                <w:b/>
                <w:szCs w:val="21"/>
              </w:rPr>
              <w:t>是否国家优先审评、紧急审评项目：  □是     □否</w:t>
            </w:r>
          </w:p>
          <w:p w14:paraId="09FEDB2A">
            <w:pPr>
              <w:spacing w:line="360" w:lineRule="auto"/>
              <w:rPr>
                <w:u w:val="single"/>
              </w:rPr>
            </w:pPr>
            <w:r>
              <w:rPr>
                <w:rFonts w:hint="eastAsia"/>
                <w:b/>
                <w:szCs w:val="21"/>
              </w:rPr>
              <w:t>参与性质：□组长单位    □参加单位</w:t>
            </w:r>
          </w:p>
        </w:tc>
      </w:tr>
    </w:tbl>
    <w:p w14:paraId="4A7F3DEE">
      <w:pPr>
        <w:spacing w:line="360" w:lineRule="auto"/>
        <w:rPr>
          <w:b/>
          <w:szCs w:val="21"/>
        </w:rPr>
      </w:pPr>
    </w:p>
    <w:tbl>
      <w:tblPr>
        <w:tblStyle w:val="12"/>
        <w:tblpPr w:leftFromText="180" w:rightFromText="180" w:vertAnchor="text" w:horzAnchor="page" w:tblpX="1401" w:tblpY="353"/>
        <w:tblOverlap w:val="never"/>
        <w:tblW w:w="9288"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1526"/>
        <w:gridCol w:w="1559"/>
        <w:gridCol w:w="1418"/>
        <w:gridCol w:w="1559"/>
        <w:gridCol w:w="1211"/>
        <w:gridCol w:w="2015"/>
      </w:tblGrid>
      <w:tr w14:paraId="165D549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526" w:type="dxa"/>
            <w:vAlign w:val="center"/>
          </w:tcPr>
          <w:p w14:paraId="28225A5D">
            <w:pPr>
              <w:spacing w:line="360" w:lineRule="auto"/>
              <w:jc w:val="center"/>
              <w:rPr>
                <w:b/>
                <w:szCs w:val="21"/>
              </w:rPr>
            </w:pPr>
            <w:r>
              <w:rPr>
                <w:rFonts w:hint="eastAsia"/>
                <w:b/>
                <w:szCs w:val="21"/>
              </w:rPr>
              <w:t>申办方/CRO</w:t>
            </w:r>
          </w:p>
        </w:tc>
        <w:tc>
          <w:tcPr>
            <w:tcW w:w="2977" w:type="dxa"/>
            <w:gridSpan w:val="2"/>
            <w:vAlign w:val="center"/>
          </w:tcPr>
          <w:p w14:paraId="71487A37">
            <w:pPr>
              <w:spacing w:line="360" w:lineRule="auto"/>
              <w:jc w:val="center"/>
              <w:rPr>
                <w:b/>
                <w:szCs w:val="21"/>
              </w:rPr>
            </w:pPr>
          </w:p>
        </w:tc>
        <w:tc>
          <w:tcPr>
            <w:tcW w:w="1559" w:type="dxa"/>
            <w:vAlign w:val="center"/>
          </w:tcPr>
          <w:p w14:paraId="4761CFB4">
            <w:pPr>
              <w:spacing w:line="360" w:lineRule="auto"/>
              <w:jc w:val="center"/>
              <w:rPr>
                <w:b/>
                <w:szCs w:val="21"/>
              </w:rPr>
            </w:pPr>
            <w:r>
              <w:rPr>
                <w:rFonts w:hint="eastAsia"/>
                <w:b/>
                <w:szCs w:val="21"/>
              </w:rPr>
              <w:t>注册地址</w:t>
            </w:r>
          </w:p>
        </w:tc>
        <w:tc>
          <w:tcPr>
            <w:tcW w:w="3226" w:type="dxa"/>
            <w:gridSpan w:val="2"/>
            <w:vAlign w:val="center"/>
          </w:tcPr>
          <w:p w14:paraId="6400D2CF">
            <w:pPr>
              <w:spacing w:line="360" w:lineRule="auto"/>
              <w:jc w:val="center"/>
              <w:rPr>
                <w:b/>
                <w:szCs w:val="21"/>
              </w:rPr>
            </w:pPr>
          </w:p>
        </w:tc>
      </w:tr>
      <w:tr w14:paraId="6805D5B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526" w:type="dxa"/>
            <w:vAlign w:val="center"/>
          </w:tcPr>
          <w:p w14:paraId="4A3020D0">
            <w:pPr>
              <w:spacing w:line="360" w:lineRule="auto"/>
              <w:jc w:val="center"/>
              <w:rPr>
                <w:b/>
                <w:szCs w:val="21"/>
              </w:rPr>
            </w:pPr>
            <w:r>
              <w:rPr>
                <w:rFonts w:hint="eastAsia"/>
                <w:b/>
                <w:szCs w:val="21"/>
              </w:rPr>
              <w:t>法定代表人</w:t>
            </w:r>
          </w:p>
        </w:tc>
        <w:tc>
          <w:tcPr>
            <w:tcW w:w="1559" w:type="dxa"/>
            <w:vAlign w:val="center"/>
          </w:tcPr>
          <w:p w14:paraId="715C76E0">
            <w:pPr>
              <w:spacing w:line="360" w:lineRule="auto"/>
              <w:jc w:val="center"/>
              <w:rPr>
                <w:b/>
                <w:szCs w:val="21"/>
              </w:rPr>
            </w:pPr>
          </w:p>
        </w:tc>
        <w:tc>
          <w:tcPr>
            <w:tcW w:w="1418" w:type="dxa"/>
            <w:vAlign w:val="center"/>
          </w:tcPr>
          <w:p w14:paraId="551CBF18">
            <w:pPr>
              <w:spacing w:line="360" w:lineRule="auto"/>
              <w:jc w:val="center"/>
              <w:rPr>
                <w:b/>
                <w:szCs w:val="21"/>
              </w:rPr>
            </w:pPr>
            <w:r>
              <w:rPr>
                <w:rFonts w:hint="eastAsia"/>
                <w:b/>
                <w:szCs w:val="21"/>
              </w:rPr>
              <w:t>项目负责人</w:t>
            </w:r>
          </w:p>
        </w:tc>
        <w:tc>
          <w:tcPr>
            <w:tcW w:w="1559" w:type="dxa"/>
            <w:vAlign w:val="center"/>
          </w:tcPr>
          <w:p w14:paraId="5DD47C99">
            <w:pPr>
              <w:spacing w:line="360" w:lineRule="auto"/>
              <w:jc w:val="center"/>
              <w:rPr>
                <w:b/>
                <w:szCs w:val="21"/>
              </w:rPr>
            </w:pPr>
          </w:p>
        </w:tc>
        <w:tc>
          <w:tcPr>
            <w:tcW w:w="1211" w:type="dxa"/>
            <w:vAlign w:val="center"/>
          </w:tcPr>
          <w:p w14:paraId="1BE606CA">
            <w:pPr>
              <w:spacing w:line="360" w:lineRule="auto"/>
              <w:jc w:val="center"/>
              <w:rPr>
                <w:b/>
                <w:szCs w:val="21"/>
              </w:rPr>
            </w:pPr>
            <w:r>
              <w:rPr>
                <w:rFonts w:hint="eastAsia"/>
                <w:b/>
                <w:szCs w:val="21"/>
              </w:rPr>
              <w:t>邮政编码</w:t>
            </w:r>
          </w:p>
        </w:tc>
        <w:tc>
          <w:tcPr>
            <w:tcW w:w="2015" w:type="dxa"/>
            <w:vAlign w:val="center"/>
          </w:tcPr>
          <w:p w14:paraId="52E1FC94">
            <w:pPr>
              <w:spacing w:line="360" w:lineRule="auto"/>
              <w:jc w:val="center"/>
              <w:rPr>
                <w:b/>
                <w:szCs w:val="21"/>
              </w:rPr>
            </w:pPr>
          </w:p>
        </w:tc>
      </w:tr>
      <w:tr w14:paraId="0889F52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526" w:type="dxa"/>
            <w:vAlign w:val="center"/>
          </w:tcPr>
          <w:p w14:paraId="63B43472">
            <w:pPr>
              <w:spacing w:line="360" w:lineRule="auto"/>
              <w:jc w:val="center"/>
              <w:rPr>
                <w:b/>
                <w:szCs w:val="21"/>
              </w:rPr>
            </w:pPr>
            <w:r>
              <w:rPr>
                <w:rFonts w:hint="eastAsia"/>
                <w:b/>
                <w:szCs w:val="21"/>
              </w:rPr>
              <w:t>联系人</w:t>
            </w:r>
          </w:p>
        </w:tc>
        <w:tc>
          <w:tcPr>
            <w:tcW w:w="1559" w:type="dxa"/>
            <w:vAlign w:val="center"/>
          </w:tcPr>
          <w:p w14:paraId="2CA3A939">
            <w:pPr>
              <w:spacing w:line="360" w:lineRule="auto"/>
              <w:jc w:val="center"/>
              <w:rPr>
                <w:b/>
                <w:szCs w:val="21"/>
              </w:rPr>
            </w:pPr>
          </w:p>
        </w:tc>
        <w:tc>
          <w:tcPr>
            <w:tcW w:w="1418" w:type="dxa"/>
            <w:vAlign w:val="center"/>
          </w:tcPr>
          <w:p w14:paraId="0033FEE5">
            <w:pPr>
              <w:spacing w:line="360" w:lineRule="auto"/>
              <w:jc w:val="center"/>
              <w:rPr>
                <w:b/>
                <w:szCs w:val="21"/>
              </w:rPr>
            </w:pPr>
            <w:r>
              <w:rPr>
                <w:rFonts w:hint="eastAsia"/>
                <w:b/>
                <w:szCs w:val="21"/>
              </w:rPr>
              <w:t>联系电话</w:t>
            </w:r>
          </w:p>
        </w:tc>
        <w:tc>
          <w:tcPr>
            <w:tcW w:w="1559" w:type="dxa"/>
            <w:vAlign w:val="center"/>
          </w:tcPr>
          <w:p w14:paraId="6D04437C">
            <w:pPr>
              <w:spacing w:line="360" w:lineRule="auto"/>
              <w:jc w:val="center"/>
              <w:rPr>
                <w:b/>
                <w:szCs w:val="21"/>
              </w:rPr>
            </w:pPr>
          </w:p>
        </w:tc>
        <w:tc>
          <w:tcPr>
            <w:tcW w:w="1211" w:type="dxa"/>
            <w:vAlign w:val="center"/>
          </w:tcPr>
          <w:p w14:paraId="63FCA8D1">
            <w:pPr>
              <w:spacing w:line="360" w:lineRule="auto"/>
              <w:jc w:val="center"/>
              <w:rPr>
                <w:b/>
                <w:szCs w:val="21"/>
              </w:rPr>
            </w:pPr>
            <w:r>
              <w:rPr>
                <w:rFonts w:hint="eastAsia"/>
                <w:b/>
                <w:szCs w:val="21"/>
              </w:rPr>
              <w:t>E-mail</w:t>
            </w:r>
          </w:p>
        </w:tc>
        <w:tc>
          <w:tcPr>
            <w:tcW w:w="2015" w:type="dxa"/>
            <w:vAlign w:val="center"/>
          </w:tcPr>
          <w:p w14:paraId="38E0EAB1">
            <w:pPr>
              <w:spacing w:line="360" w:lineRule="auto"/>
              <w:jc w:val="center"/>
              <w:rPr>
                <w:b/>
                <w:szCs w:val="21"/>
              </w:rPr>
            </w:pPr>
          </w:p>
        </w:tc>
      </w:tr>
      <w:tr w14:paraId="62D50E1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70" w:hRule="atLeast"/>
        </w:trPr>
        <w:tc>
          <w:tcPr>
            <w:tcW w:w="9288" w:type="dxa"/>
            <w:gridSpan w:val="6"/>
            <w:shd w:val="clear" w:color="auto" w:fill="BEBEBE" w:themeFill="background1" w:themeFillShade="BF"/>
          </w:tcPr>
          <w:p w14:paraId="460A1CD5">
            <w:pPr>
              <w:rPr>
                <w:b/>
                <w:sz w:val="18"/>
                <w:szCs w:val="21"/>
              </w:rPr>
            </w:pPr>
          </w:p>
        </w:tc>
      </w:tr>
      <w:tr w14:paraId="50813C1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526" w:type="dxa"/>
            <w:vAlign w:val="center"/>
          </w:tcPr>
          <w:p w14:paraId="588DD00D">
            <w:pPr>
              <w:spacing w:line="360" w:lineRule="auto"/>
              <w:jc w:val="center"/>
              <w:rPr>
                <w:b/>
                <w:szCs w:val="21"/>
              </w:rPr>
            </w:pPr>
            <w:r>
              <w:rPr>
                <w:rFonts w:hint="eastAsia"/>
                <w:b/>
                <w:szCs w:val="21"/>
              </w:rPr>
              <w:t>临床试验机构</w:t>
            </w:r>
          </w:p>
        </w:tc>
        <w:tc>
          <w:tcPr>
            <w:tcW w:w="2977" w:type="dxa"/>
            <w:gridSpan w:val="2"/>
            <w:vAlign w:val="center"/>
          </w:tcPr>
          <w:p w14:paraId="796A628E">
            <w:pPr>
              <w:spacing w:line="360" w:lineRule="auto"/>
              <w:jc w:val="center"/>
              <w:rPr>
                <w:b/>
                <w:szCs w:val="21"/>
              </w:rPr>
            </w:pPr>
            <w:r>
              <w:rPr>
                <w:rFonts w:hint="eastAsia"/>
                <w:b/>
                <w:szCs w:val="21"/>
              </w:rPr>
              <w:t>眉山市人民医院</w:t>
            </w:r>
          </w:p>
        </w:tc>
        <w:tc>
          <w:tcPr>
            <w:tcW w:w="1559" w:type="dxa"/>
            <w:vAlign w:val="center"/>
          </w:tcPr>
          <w:p w14:paraId="25D6E867">
            <w:pPr>
              <w:spacing w:line="360" w:lineRule="auto"/>
              <w:jc w:val="center"/>
              <w:rPr>
                <w:b/>
                <w:szCs w:val="21"/>
              </w:rPr>
            </w:pPr>
            <w:r>
              <w:rPr>
                <w:rFonts w:hint="eastAsia"/>
                <w:b/>
                <w:szCs w:val="21"/>
              </w:rPr>
              <w:t>地址</w:t>
            </w:r>
          </w:p>
        </w:tc>
        <w:tc>
          <w:tcPr>
            <w:tcW w:w="3226" w:type="dxa"/>
            <w:gridSpan w:val="2"/>
            <w:vAlign w:val="center"/>
          </w:tcPr>
          <w:p w14:paraId="44922A3F">
            <w:pPr>
              <w:spacing w:line="360" w:lineRule="auto"/>
              <w:jc w:val="center"/>
              <w:rPr>
                <w:b/>
                <w:szCs w:val="21"/>
              </w:rPr>
            </w:pPr>
            <w:r>
              <w:rPr>
                <w:rFonts w:hint="eastAsia"/>
                <w:b/>
                <w:szCs w:val="21"/>
              </w:rPr>
              <w:t>四川省眉山市东坡区东坡大道南四段288号</w:t>
            </w:r>
          </w:p>
        </w:tc>
      </w:tr>
      <w:tr w14:paraId="0B4A41B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526" w:type="dxa"/>
            <w:vAlign w:val="center"/>
          </w:tcPr>
          <w:p w14:paraId="15F2F99E">
            <w:pPr>
              <w:spacing w:line="360" w:lineRule="auto"/>
              <w:jc w:val="center"/>
              <w:rPr>
                <w:b/>
                <w:szCs w:val="21"/>
              </w:rPr>
            </w:pPr>
            <w:r>
              <w:rPr>
                <w:rFonts w:hint="eastAsia"/>
                <w:b/>
                <w:szCs w:val="21"/>
              </w:rPr>
              <w:t>机构办主任</w:t>
            </w:r>
          </w:p>
        </w:tc>
        <w:tc>
          <w:tcPr>
            <w:tcW w:w="2977" w:type="dxa"/>
            <w:gridSpan w:val="2"/>
            <w:vAlign w:val="center"/>
          </w:tcPr>
          <w:p w14:paraId="5B055DC7">
            <w:pPr>
              <w:spacing w:line="360" w:lineRule="auto"/>
              <w:jc w:val="center"/>
              <w:rPr>
                <w:b/>
                <w:szCs w:val="21"/>
              </w:rPr>
            </w:pPr>
            <w:r>
              <w:rPr>
                <w:rFonts w:hint="eastAsia"/>
                <w:b/>
                <w:szCs w:val="21"/>
              </w:rPr>
              <w:t>尹希</w:t>
            </w:r>
          </w:p>
        </w:tc>
        <w:tc>
          <w:tcPr>
            <w:tcW w:w="1559" w:type="dxa"/>
            <w:vAlign w:val="center"/>
          </w:tcPr>
          <w:p w14:paraId="3FA588BB">
            <w:pPr>
              <w:spacing w:line="360" w:lineRule="auto"/>
              <w:jc w:val="center"/>
              <w:rPr>
                <w:b/>
                <w:szCs w:val="21"/>
              </w:rPr>
            </w:pPr>
            <w:r>
              <w:rPr>
                <w:rFonts w:hint="eastAsia"/>
                <w:b/>
                <w:szCs w:val="21"/>
              </w:rPr>
              <w:t>邮政编码</w:t>
            </w:r>
          </w:p>
        </w:tc>
        <w:tc>
          <w:tcPr>
            <w:tcW w:w="3226" w:type="dxa"/>
            <w:gridSpan w:val="2"/>
            <w:vAlign w:val="center"/>
          </w:tcPr>
          <w:p w14:paraId="7D822D8C">
            <w:pPr>
              <w:spacing w:line="360" w:lineRule="auto"/>
              <w:jc w:val="center"/>
              <w:rPr>
                <w:b/>
                <w:szCs w:val="21"/>
              </w:rPr>
            </w:pPr>
            <w:r>
              <w:rPr>
                <w:rFonts w:hint="eastAsia"/>
                <w:b/>
                <w:szCs w:val="21"/>
              </w:rPr>
              <w:t>620000</w:t>
            </w:r>
          </w:p>
        </w:tc>
      </w:tr>
      <w:tr w14:paraId="4ABB59B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526" w:type="dxa"/>
            <w:tcBorders>
              <w:bottom w:val="single" w:color="000000" w:themeColor="text1" w:sz="4" w:space="0"/>
            </w:tcBorders>
            <w:vAlign w:val="center"/>
          </w:tcPr>
          <w:p w14:paraId="3C4494BB">
            <w:pPr>
              <w:spacing w:line="360" w:lineRule="auto"/>
              <w:jc w:val="center"/>
              <w:rPr>
                <w:b/>
                <w:szCs w:val="21"/>
              </w:rPr>
            </w:pPr>
            <w:r>
              <w:rPr>
                <w:rFonts w:hint="eastAsia"/>
                <w:b/>
                <w:szCs w:val="21"/>
              </w:rPr>
              <w:t>联系电话</w:t>
            </w:r>
          </w:p>
        </w:tc>
        <w:tc>
          <w:tcPr>
            <w:tcW w:w="2977" w:type="dxa"/>
            <w:gridSpan w:val="2"/>
            <w:tcBorders>
              <w:bottom w:val="single" w:color="000000" w:themeColor="text1" w:sz="4" w:space="0"/>
            </w:tcBorders>
            <w:vAlign w:val="center"/>
          </w:tcPr>
          <w:p w14:paraId="73A8164A">
            <w:pPr>
              <w:spacing w:line="360" w:lineRule="auto"/>
              <w:jc w:val="center"/>
              <w:rPr>
                <w:b/>
                <w:szCs w:val="21"/>
              </w:rPr>
            </w:pPr>
            <w:r>
              <w:rPr>
                <w:rFonts w:hint="eastAsia"/>
                <w:b/>
                <w:szCs w:val="21"/>
              </w:rPr>
              <w:t>13648145003</w:t>
            </w:r>
          </w:p>
        </w:tc>
        <w:tc>
          <w:tcPr>
            <w:tcW w:w="1559" w:type="dxa"/>
            <w:tcBorders>
              <w:bottom w:val="single" w:color="000000" w:themeColor="text1" w:sz="4" w:space="0"/>
            </w:tcBorders>
            <w:vAlign w:val="center"/>
          </w:tcPr>
          <w:p w14:paraId="0BF530FC">
            <w:pPr>
              <w:spacing w:line="360" w:lineRule="auto"/>
              <w:jc w:val="center"/>
              <w:rPr>
                <w:b/>
                <w:szCs w:val="21"/>
              </w:rPr>
            </w:pPr>
            <w:r>
              <w:rPr>
                <w:rFonts w:hint="eastAsia"/>
                <w:b/>
                <w:szCs w:val="21"/>
              </w:rPr>
              <w:t>机构办邮箱</w:t>
            </w:r>
          </w:p>
        </w:tc>
        <w:tc>
          <w:tcPr>
            <w:tcW w:w="3226" w:type="dxa"/>
            <w:gridSpan w:val="2"/>
            <w:tcBorders>
              <w:bottom w:val="single" w:color="000000" w:themeColor="text1" w:sz="4" w:space="0"/>
            </w:tcBorders>
            <w:vAlign w:val="center"/>
          </w:tcPr>
          <w:p w14:paraId="1C549A8D">
            <w:pPr>
              <w:spacing w:line="360" w:lineRule="auto"/>
              <w:jc w:val="center"/>
              <w:rPr>
                <w:b/>
                <w:szCs w:val="21"/>
              </w:rPr>
            </w:pPr>
            <w:r>
              <w:rPr>
                <w:rFonts w:hint="eastAsia"/>
                <w:b/>
                <w:szCs w:val="21"/>
              </w:rPr>
              <w:t>myjggcp@163.com</w:t>
            </w:r>
          </w:p>
        </w:tc>
      </w:tr>
      <w:tr w14:paraId="09F8FE7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29" w:hRule="atLeast"/>
        </w:trPr>
        <w:tc>
          <w:tcPr>
            <w:tcW w:w="9288" w:type="dxa"/>
            <w:gridSpan w:val="6"/>
            <w:shd w:val="clear" w:color="auto" w:fill="F1F1F1" w:themeFill="background1" w:themeFillShade="F2"/>
          </w:tcPr>
          <w:p w14:paraId="06189F38">
            <w:pPr>
              <w:rPr>
                <w:b/>
                <w:sz w:val="16"/>
                <w:szCs w:val="21"/>
              </w:rPr>
            </w:pPr>
          </w:p>
        </w:tc>
      </w:tr>
      <w:tr w14:paraId="09B67FA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526" w:type="dxa"/>
            <w:vAlign w:val="center"/>
          </w:tcPr>
          <w:p w14:paraId="35C97FD4">
            <w:pPr>
              <w:spacing w:line="360" w:lineRule="auto"/>
              <w:jc w:val="center"/>
              <w:rPr>
                <w:b/>
                <w:szCs w:val="21"/>
              </w:rPr>
            </w:pPr>
            <w:r>
              <w:rPr>
                <w:rFonts w:hint="eastAsia"/>
                <w:b/>
                <w:szCs w:val="21"/>
              </w:rPr>
              <w:t>专业科室</w:t>
            </w:r>
          </w:p>
        </w:tc>
        <w:tc>
          <w:tcPr>
            <w:tcW w:w="2977" w:type="dxa"/>
            <w:gridSpan w:val="2"/>
            <w:vAlign w:val="center"/>
          </w:tcPr>
          <w:p w14:paraId="652A377D">
            <w:pPr>
              <w:spacing w:line="360" w:lineRule="auto"/>
              <w:jc w:val="center"/>
              <w:rPr>
                <w:b/>
                <w:szCs w:val="21"/>
              </w:rPr>
            </w:pPr>
          </w:p>
        </w:tc>
        <w:tc>
          <w:tcPr>
            <w:tcW w:w="1559" w:type="dxa"/>
            <w:vAlign w:val="center"/>
          </w:tcPr>
          <w:p w14:paraId="4B5292FD">
            <w:pPr>
              <w:spacing w:line="360" w:lineRule="auto"/>
              <w:jc w:val="center"/>
              <w:rPr>
                <w:b/>
                <w:szCs w:val="21"/>
              </w:rPr>
            </w:pPr>
            <w:r>
              <w:rPr>
                <w:rFonts w:hint="eastAsia"/>
                <w:b/>
                <w:szCs w:val="21"/>
              </w:rPr>
              <w:t>主要研究者</w:t>
            </w:r>
          </w:p>
        </w:tc>
        <w:tc>
          <w:tcPr>
            <w:tcW w:w="3226" w:type="dxa"/>
            <w:gridSpan w:val="2"/>
            <w:vAlign w:val="center"/>
          </w:tcPr>
          <w:p w14:paraId="7D68292D">
            <w:pPr>
              <w:spacing w:line="360" w:lineRule="auto"/>
              <w:jc w:val="center"/>
              <w:rPr>
                <w:b/>
                <w:szCs w:val="21"/>
              </w:rPr>
            </w:pPr>
          </w:p>
        </w:tc>
      </w:tr>
      <w:tr w14:paraId="7708D27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526" w:type="dxa"/>
            <w:vAlign w:val="center"/>
          </w:tcPr>
          <w:p w14:paraId="01F23EF7">
            <w:pPr>
              <w:spacing w:line="360" w:lineRule="auto"/>
              <w:jc w:val="center"/>
              <w:rPr>
                <w:b/>
                <w:szCs w:val="21"/>
              </w:rPr>
            </w:pPr>
            <w:r>
              <w:rPr>
                <w:rFonts w:hint="eastAsia"/>
                <w:b/>
                <w:szCs w:val="21"/>
              </w:rPr>
              <w:t>联系电话</w:t>
            </w:r>
          </w:p>
        </w:tc>
        <w:tc>
          <w:tcPr>
            <w:tcW w:w="2977" w:type="dxa"/>
            <w:gridSpan w:val="2"/>
            <w:vAlign w:val="center"/>
          </w:tcPr>
          <w:p w14:paraId="432EF645">
            <w:pPr>
              <w:spacing w:line="360" w:lineRule="auto"/>
              <w:jc w:val="center"/>
              <w:rPr>
                <w:b/>
                <w:szCs w:val="21"/>
              </w:rPr>
            </w:pPr>
          </w:p>
        </w:tc>
        <w:tc>
          <w:tcPr>
            <w:tcW w:w="1559" w:type="dxa"/>
            <w:vAlign w:val="center"/>
          </w:tcPr>
          <w:p w14:paraId="2CF2FE29">
            <w:pPr>
              <w:spacing w:line="360" w:lineRule="auto"/>
              <w:jc w:val="center"/>
              <w:rPr>
                <w:b/>
                <w:szCs w:val="21"/>
              </w:rPr>
            </w:pPr>
            <w:r>
              <w:rPr>
                <w:rFonts w:hint="eastAsia"/>
                <w:b/>
                <w:szCs w:val="21"/>
              </w:rPr>
              <w:t>E-mail</w:t>
            </w:r>
          </w:p>
        </w:tc>
        <w:tc>
          <w:tcPr>
            <w:tcW w:w="3226" w:type="dxa"/>
            <w:gridSpan w:val="2"/>
            <w:vAlign w:val="center"/>
          </w:tcPr>
          <w:p w14:paraId="1C73A9BB">
            <w:pPr>
              <w:spacing w:line="360" w:lineRule="auto"/>
              <w:jc w:val="center"/>
              <w:rPr>
                <w:b/>
                <w:szCs w:val="21"/>
              </w:rPr>
            </w:pPr>
          </w:p>
        </w:tc>
      </w:tr>
    </w:tbl>
    <w:p w14:paraId="47294215">
      <w:pPr>
        <w:spacing w:line="360" w:lineRule="auto"/>
        <w:rPr>
          <w:b/>
          <w:szCs w:val="21"/>
        </w:rPr>
      </w:pPr>
    </w:p>
    <w:p w14:paraId="2D831CC9">
      <w:pPr>
        <w:spacing w:line="360" w:lineRule="auto"/>
        <w:ind w:firstLine="207" w:firstLineChars="98"/>
        <w:rPr>
          <w:b/>
        </w:rPr>
      </w:pPr>
    </w:p>
    <w:p w14:paraId="48D86C1D">
      <w:pPr>
        <w:rPr>
          <w:b/>
        </w:rPr>
      </w:pPr>
      <w:r>
        <w:rPr>
          <w:b/>
        </w:rPr>
        <w:br w:type="page"/>
      </w:r>
    </w:p>
    <w:p w14:paraId="38F5F6B8">
      <w:pPr>
        <w:adjustRightInd w:val="0"/>
        <w:snapToGrid w:val="0"/>
        <w:spacing w:line="360" w:lineRule="auto"/>
        <w:rPr>
          <w:b/>
          <w:sz w:val="28"/>
          <w:szCs w:val="28"/>
        </w:rPr>
      </w:pPr>
      <w:r>
        <w:rPr>
          <w:b/>
          <w:sz w:val="28"/>
          <w:szCs w:val="28"/>
        </w:rPr>
        <w:t>甲方：</w:t>
      </w:r>
      <w:r>
        <w:rPr>
          <w:b/>
          <w:sz w:val="28"/>
          <w:szCs w:val="28"/>
          <w:u w:val="single"/>
        </w:rPr>
        <w:t>××××公司</w:t>
      </w:r>
      <w:r>
        <w:rPr>
          <w:rFonts w:hint="eastAsia"/>
          <w:b/>
          <w:sz w:val="28"/>
          <w:szCs w:val="28"/>
        </w:rPr>
        <w:t>（</w:t>
      </w:r>
      <w:r>
        <w:rPr>
          <w:b/>
          <w:sz w:val="28"/>
          <w:szCs w:val="28"/>
        </w:rPr>
        <w:t>申办</w:t>
      </w:r>
      <w:r>
        <w:rPr>
          <w:rFonts w:hint="eastAsia"/>
          <w:b/>
          <w:sz w:val="28"/>
          <w:szCs w:val="28"/>
        </w:rPr>
        <w:t>方）</w:t>
      </w:r>
    </w:p>
    <w:p w14:paraId="549A1C13">
      <w:pPr>
        <w:adjustRightInd w:val="0"/>
        <w:snapToGrid w:val="0"/>
        <w:spacing w:line="360" w:lineRule="auto"/>
        <w:rPr>
          <w:b/>
        </w:rPr>
      </w:pPr>
      <w:r>
        <w:rPr>
          <w:rFonts w:hint="eastAsia"/>
          <w:b/>
          <w:sz w:val="28"/>
          <w:szCs w:val="28"/>
        </w:rPr>
        <w:t>乙方：眉山市人民医院（临床试验机构）</w:t>
      </w:r>
    </w:p>
    <w:p w14:paraId="1D09C612">
      <w:pPr>
        <w:adjustRightInd w:val="0"/>
        <w:snapToGrid w:val="0"/>
        <w:spacing w:line="360" w:lineRule="auto"/>
        <w:ind w:firstLine="422" w:firstLineChars="200"/>
        <w:rPr>
          <w:b/>
        </w:rPr>
      </w:pPr>
    </w:p>
    <w:p w14:paraId="2199A97E">
      <w:pPr>
        <w:adjustRightInd w:val="0"/>
        <w:snapToGrid w:val="0"/>
        <w:spacing w:line="360" w:lineRule="auto"/>
        <w:ind w:firstLine="480" w:firstLineChars="200"/>
        <w:rPr>
          <w:rFonts w:cs="宋体"/>
          <w:sz w:val="24"/>
        </w:rPr>
      </w:pPr>
      <w:r>
        <w:rPr>
          <w:rFonts w:hint="eastAsia" w:cs="宋体"/>
          <w:sz w:val="24"/>
        </w:rPr>
        <w:t>乙方将依据名为“</w:t>
      </w:r>
      <w:r>
        <w:rPr>
          <w:rFonts w:hint="eastAsia" w:cs="宋体"/>
          <w:sz w:val="24"/>
          <w:u w:val="single"/>
        </w:rPr>
        <w:t xml:space="preserve">             </w:t>
      </w:r>
      <w:r>
        <w:rPr>
          <w:rFonts w:hint="eastAsia" w:cs="宋体"/>
          <w:sz w:val="24"/>
        </w:rPr>
        <w:t>”的方案【方案编号：</w:t>
      </w:r>
      <w:r>
        <w:rPr>
          <w:rFonts w:hint="eastAsia" w:cs="宋体"/>
          <w:sz w:val="24"/>
          <w:u w:val="single"/>
        </w:rPr>
        <w:t xml:space="preserve">         </w:t>
      </w:r>
      <w:r>
        <w:rPr>
          <w:rFonts w:hint="eastAsia" w:cs="宋体"/>
          <w:sz w:val="24"/>
        </w:rPr>
        <w:t>】开展一项药物临床试验，从而对甲方研制的__________试验药物进行临床试验，并且乙方在阅读了研究方案、研究者手册以及与试验用药物有关的足够信息以评价其参与该研究的兴趣后，研究机构和研究者同意参与研究，并保证有足够的权限、能力和经验进行临床试验，并拥有必备的基础设施和技术手段保证试验的顺利进行。依据《中华人民共和国民法典》等相关法律法规的规定，合同双方在平等互利、充分表达各自意愿的基础上，就以下各条所涉及的相关技术和法律问题，经协商一致达成如下协议，由签约双方共同恪守。自双方签订合同之日起即生效，任何一方不得单方面终止合同。</w:t>
      </w:r>
    </w:p>
    <w:p w14:paraId="5E8EB2E1">
      <w:pPr>
        <w:pStyle w:val="2"/>
      </w:pPr>
      <w:r>
        <w:rPr>
          <w:rFonts w:hint="eastAsia"/>
        </w:rPr>
        <w:t>一．合作的主体、合作方式、目的和内容</w:t>
      </w:r>
    </w:p>
    <w:p w14:paraId="0B849362">
      <w:pPr>
        <w:adjustRightInd w:val="0"/>
        <w:snapToGrid w:val="0"/>
        <w:spacing w:line="360" w:lineRule="auto"/>
        <w:ind w:firstLine="480" w:firstLineChars="200"/>
        <w:rPr>
          <w:rFonts w:cs="宋体"/>
          <w:sz w:val="24"/>
        </w:rPr>
      </w:pPr>
      <w:r>
        <w:rPr>
          <w:rFonts w:hint="eastAsia" w:cs="宋体"/>
          <w:sz w:val="24"/>
        </w:rPr>
        <w:t>1.根据国家药品监督管理局第（          ）号批件（如适用），甲方委托乙方对甲方研制的___________药物（注册分类：_________）进行临床试验，以评价其有效性和安全性。</w:t>
      </w:r>
    </w:p>
    <w:p w14:paraId="4028BB8A">
      <w:pPr>
        <w:adjustRightInd w:val="0"/>
        <w:snapToGrid w:val="0"/>
        <w:spacing w:line="360" w:lineRule="auto"/>
        <w:ind w:firstLine="480" w:firstLineChars="200"/>
        <w:rPr>
          <w:rFonts w:cs="宋体"/>
          <w:sz w:val="24"/>
        </w:rPr>
      </w:pPr>
      <w:r>
        <w:rPr>
          <w:rFonts w:hint="eastAsia" w:cs="宋体"/>
          <w:sz w:val="24"/>
        </w:rPr>
        <w:t>2.负责项目的科室为：____________，主要研究者为__________。</w:t>
      </w:r>
    </w:p>
    <w:p w14:paraId="15FAA6BA">
      <w:pPr>
        <w:adjustRightInd w:val="0"/>
        <w:snapToGrid w:val="0"/>
        <w:spacing w:line="360" w:lineRule="auto"/>
        <w:ind w:firstLine="480" w:firstLineChars="200"/>
        <w:rPr>
          <w:rFonts w:cs="宋体"/>
          <w:sz w:val="24"/>
        </w:rPr>
      </w:pPr>
      <w:r>
        <w:rPr>
          <w:rFonts w:hint="eastAsia" w:cs="宋体"/>
          <w:sz w:val="24"/>
        </w:rPr>
        <w:t>3.试验名称为</w:t>
      </w:r>
      <w:r>
        <w:rPr>
          <w:rFonts w:hint="eastAsia" w:cs="宋体"/>
          <w:sz w:val="24"/>
          <w:u w:val="single"/>
        </w:rPr>
        <w:t xml:space="preserve">：                                                         </w:t>
      </w:r>
    </w:p>
    <w:p w14:paraId="3CC77BBC">
      <w:pPr>
        <w:adjustRightInd w:val="0"/>
        <w:snapToGrid w:val="0"/>
        <w:spacing w:line="360" w:lineRule="auto"/>
        <w:ind w:firstLine="480" w:firstLineChars="200"/>
        <w:rPr>
          <w:rFonts w:cs="宋体"/>
          <w:sz w:val="24"/>
        </w:rPr>
      </w:pPr>
      <w:r>
        <w:rPr>
          <w:rFonts w:hint="eastAsia" w:cs="宋体"/>
          <w:sz w:val="24"/>
        </w:rPr>
        <w:t>4.该试验总设计例数为_____例，甲方计划委托乙方完成</w:t>
      </w:r>
      <w:r>
        <w:rPr>
          <w:rFonts w:hint="eastAsia" w:cs="宋体"/>
          <w:sz w:val="24"/>
          <w:u w:val="single"/>
        </w:rPr>
        <w:t xml:space="preserve">     </w:t>
      </w:r>
      <w:r>
        <w:rPr>
          <w:rFonts w:hint="eastAsia" w:cs="宋体"/>
          <w:sz w:val="24"/>
        </w:rPr>
        <w:t>例受试者入组观察。</w:t>
      </w:r>
    </w:p>
    <w:p w14:paraId="17F25F20">
      <w:pPr>
        <w:pStyle w:val="2"/>
      </w:pPr>
      <w:r>
        <w:rPr>
          <w:rFonts w:hint="eastAsia"/>
        </w:rPr>
        <w:t>二．各方承担的责任</w:t>
      </w:r>
    </w:p>
    <w:p w14:paraId="28CE72D2">
      <w:pPr>
        <w:adjustRightInd w:val="0"/>
        <w:snapToGrid w:val="0"/>
        <w:spacing w:line="360" w:lineRule="auto"/>
        <w:ind w:firstLine="480" w:firstLineChars="200"/>
        <w:rPr>
          <w:rFonts w:cs="宋体"/>
          <w:sz w:val="24"/>
        </w:rPr>
      </w:pPr>
      <w:r>
        <w:rPr>
          <w:rFonts w:hint="eastAsia" w:cs="宋体"/>
          <w:sz w:val="24"/>
        </w:rPr>
        <w:t>1.如甲乙任何一方改动方案，需经双方协商同意，伦理委员会批准后，方可实施。</w:t>
      </w:r>
    </w:p>
    <w:p w14:paraId="6336517E">
      <w:pPr>
        <w:adjustRightInd w:val="0"/>
        <w:snapToGrid w:val="0"/>
        <w:spacing w:line="360" w:lineRule="auto"/>
        <w:ind w:firstLine="482" w:firstLineChars="200"/>
        <w:rPr>
          <w:rFonts w:cs="宋体"/>
          <w:bCs/>
          <w:sz w:val="24"/>
        </w:rPr>
      </w:pPr>
      <w:r>
        <w:rPr>
          <w:rFonts w:hint="eastAsia" w:cs="宋体"/>
          <w:b/>
          <w:sz w:val="24"/>
        </w:rPr>
        <w:t>2.</w:t>
      </w:r>
      <w:r>
        <w:rPr>
          <w:rFonts w:hint="eastAsia" w:cs="宋体"/>
          <w:bCs/>
          <w:sz w:val="24"/>
        </w:rPr>
        <w:t>双方严格遵守《药物临床试验质量管理规范》 《赫尔辛基宣言》和相关法律法规及要求，完成本临床试验。</w:t>
      </w:r>
    </w:p>
    <w:p w14:paraId="098945B3">
      <w:pPr>
        <w:adjustRightInd w:val="0"/>
        <w:snapToGrid w:val="0"/>
        <w:spacing w:line="360" w:lineRule="auto"/>
        <w:ind w:firstLine="482" w:firstLineChars="200"/>
        <w:rPr>
          <w:rFonts w:cs="宋体"/>
          <w:b/>
          <w:sz w:val="24"/>
        </w:rPr>
      </w:pPr>
      <w:r>
        <w:rPr>
          <w:rFonts w:hint="eastAsia" w:cs="宋体"/>
          <w:b/>
          <w:sz w:val="24"/>
        </w:rPr>
        <w:t>3.甲方应承担的责任和义务：</w:t>
      </w:r>
    </w:p>
    <w:p w14:paraId="4BF555DE">
      <w:pPr>
        <w:pStyle w:val="4"/>
        <w:numPr>
          <w:ilvl w:val="0"/>
          <w:numId w:val="1"/>
        </w:numPr>
        <w:adjustRightInd w:val="0"/>
        <w:snapToGrid w:val="0"/>
        <w:spacing w:line="360" w:lineRule="auto"/>
        <w:ind w:left="0" w:firstLine="454"/>
        <w:rPr>
          <w:rFonts w:cs="宋体"/>
          <w:sz w:val="24"/>
        </w:rPr>
      </w:pPr>
      <w:r>
        <w:rPr>
          <w:rFonts w:hint="eastAsia" w:cs="宋体"/>
          <w:sz w:val="24"/>
        </w:rPr>
        <w:t>向乙方和乙方研究者提供临床试验批件/临床试验通知书，并保证该批件/通知书的合法有效，并为甲方提供的所有资料的逻辑性、真实性、合规性、合法性负责。</w:t>
      </w:r>
    </w:p>
    <w:p w14:paraId="0BD4AFE5">
      <w:pPr>
        <w:pStyle w:val="5"/>
        <w:numPr>
          <w:ilvl w:val="0"/>
          <w:numId w:val="1"/>
        </w:numPr>
        <w:adjustRightInd w:val="0"/>
        <w:snapToGrid w:val="0"/>
        <w:spacing w:line="360" w:lineRule="auto"/>
        <w:ind w:left="0" w:firstLine="454"/>
        <w:rPr>
          <w:rFonts w:ascii="Times New Roman" w:hAnsi="Times New Roman" w:eastAsia="宋体" w:cs="宋体"/>
          <w:sz w:val="24"/>
          <w:szCs w:val="24"/>
        </w:rPr>
      </w:pPr>
      <w:r>
        <w:rPr>
          <w:rFonts w:hint="eastAsia" w:ascii="Times New Roman" w:hAnsi="Times New Roman" w:eastAsia="宋体" w:cs="宋体"/>
          <w:sz w:val="24"/>
          <w:szCs w:val="24"/>
        </w:rPr>
        <w:t>制定临床试验方案，并得到乙方临床试验人员认可。</w:t>
      </w:r>
    </w:p>
    <w:p w14:paraId="643057A3">
      <w:pPr>
        <w:numPr>
          <w:ilvl w:val="0"/>
          <w:numId w:val="1"/>
        </w:numPr>
        <w:adjustRightInd w:val="0"/>
        <w:snapToGrid w:val="0"/>
        <w:spacing w:line="360" w:lineRule="auto"/>
        <w:ind w:left="0" w:firstLine="454"/>
        <w:rPr>
          <w:rFonts w:cs="宋体"/>
          <w:sz w:val="24"/>
        </w:rPr>
      </w:pPr>
      <w:r>
        <w:rPr>
          <w:rFonts w:hint="eastAsia" w:cs="宋体"/>
          <w:sz w:val="24"/>
        </w:rPr>
        <w:t>根据国家相关法律法规以及乙方的要求，免费向乙方提供研究用文件，包括但不限于：（1）临床试验批件/临床试验通知书；（2）甲方的资质证明；（3）临床试验方案（相关各版本）；（4）药检报告；（5）受试者知情同意书样本（本中心相关各版本）；（6）病例报告表（CRF）样本；（7）研究者手册及其他与试验相关的资料；）（8）</w:t>
      </w:r>
      <w:r>
        <w:rPr>
          <w:rFonts w:hint="eastAsia" w:cs="宋体"/>
          <w:sz w:val="24"/>
          <w:lang w:val="en-US" w:eastAsia="zh-Hans"/>
        </w:rPr>
        <w:t>试验用药</w:t>
      </w:r>
      <w:r>
        <w:rPr>
          <w:rFonts w:hint="eastAsia" w:cs="宋体"/>
          <w:sz w:val="24"/>
          <w:lang w:val="en-US" w:eastAsia="zh-CN"/>
        </w:rPr>
        <w:t>物</w:t>
      </w:r>
      <w:r>
        <w:rPr>
          <w:rFonts w:hint="eastAsia" w:cs="宋体"/>
          <w:sz w:val="24"/>
          <w:lang w:val="en-US" w:eastAsia="zh-Hans"/>
        </w:rPr>
        <w:t>的书面说明</w:t>
      </w:r>
      <w:r>
        <w:rPr>
          <w:rFonts w:hint="default" w:cs="宋体"/>
          <w:sz w:val="24"/>
          <w:lang w:eastAsia="zh-Hans"/>
        </w:rPr>
        <w:t>；（9）</w:t>
      </w:r>
      <w:r>
        <w:rPr>
          <w:rFonts w:hint="eastAsia" w:cs="宋体"/>
          <w:sz w:val="24"/>
        </w:rPr>
        <w:t>伦理所需材料；（</w:t>
      </w:r>
      <w:r>
        <w:rPr>
          <w:rFonts w:hint="default" w:cs="宋体"/>
          <w:sz w:val="24"/>
        </w:rPr>
        <w:t>10</w:t>
      </w:r>
      <w:r>
        <w:rPr>
          <w:rFonts w:hint="eastAsia" w:cs="宋体"/>
          <w:sz w:val="24"/>
        </w:rPr>
        <w:t>）最新研究进展。</w:t>
      </w:r>
    </w:p>
    <w:p w14:paraId="7F3EE189">
      <w:pPr>
        <w:numPr>
          <w:ilvl w:val="0"/>
          <w:numId w:val="1"/>
        </w:numPr>
        <w:adjustRightInd w:val="0"/>
        <w:snapToGrid w:val="0"/>
        <w:spacing w:line="360" w:lineRule="auto"/>
        <w:ind w:left="0" w:firstLine="454"/>
        <w:rPr>
          <w:rFonts w:cs="宋体"/>
          <w:sz w:val="24"/>
        </w:rPr>
      </w:pPr>
      <w:r>
        <w:rPr>
          <w:rFonts w:hint="eastAsia" w:cs="宋体"/>
          <w:sz w:val="24"/>
        </w:rPr>
        <w:t>负责与乙方共同对主要研究者及其研究团队进行资格审核，以选择合格的研究人员。</w:t>
      </w:r>
    </w:p>
    <w:p w14:paraId="0019B94D">
      <w:pPr>
        <w:numPr>
          <w:ilvl w:val="0"/>
          <w:numId w:val="1"/>
        </w:numPr>
        <w:adjustRightInd w:val="0"/>
        <w:snapToGrid w:val="0"/>
        <w:spacing w:line="360" w:lineRule="auto"/>
        <w:ind w:left="0" w:firstLine="454"/>
        <w:rPr>
          <w:rFonts w:cs="宋体"/>
          <w:sz w:val="24"/>
        </w:rPr>
      </w:pPr>
      <w:r>
        <w:rPr>
          <w:rFonts w:hint="eastAsia" w:cs="宋体"/>
          <w:sz w:val="24"/>
        </w:rPr>
        <w:t>无偿提供合格的试验用药、对照药、基础用药（如适用），试验用药的制备，应当在符合《药品生产质量管理规范》（GMP）的条件下生产，保证试验用药的质量，并对试验用药</w:t>
      </w:r>
      <w:r>
        <w:rPr>
          <w:rFonts w:hint="eastAsia" w:cs="宋体"/>
          <w:sz w:val="24"/>
          <w:lang w:val="en-US" w:eastAsia="zh-CN"/>
        </w:rPr>
        <w:t>物</w:t>
      </w:r>
      <w:r>
        <w:rPr>
          <w:rFonts w:hint="eastAsia" w:cs="宋体"/>
          <w:sz w:val="24"/>
          <w:lang w:val="en-US" w:eastAsia="zh-Hans"/>
        </w:rPr>
        <w:t>按照</w:t>
      </w:r>
      <w:r>
        <w:rPr>
          <w:rFonts w:hint="eastAsia" w:cs="宋体"/>
          <w:sz w:val="24"/>
        </w:rPr>
        <w:t>《药品生产质量管理规范》</w:t>
      </w:r>
      <w:r>
        <w:rPr>
          <w:rFonts w:hint="eastAsia" w:cs="宋体"/>
          <w:sz w:val="24"/>
          <w:lang w:val="en-US" w:eastAsia="zh-Hans"/>
        </w:rPr>
        <w:t>规定</w:t>
      </w:r>
      <w:r>
        <w:rPr>
          <w:rFonts w:hint="eastAsia" w:cs="宋体"/>
          <w:sz w:val="24"/>
        </w:rPr>
        <w:t>进行包装</w:t>
      </w:r>
      <w:r>
        <w:rPr>
          <w:rFonts w:hint="default" w:cs="宋体"/>
          <w:sz w:val="24"/>
        </w:rPr>
        <w:t>、</w:t>
      </w:r>
      <w:r>
        <w:rPr>
          <w:rFonts w:hint="eastAsia" w:cs="宋体"/>
          <w:sz w:val="24"/>
        </w:rPr>
        <w:t>标签</w:t>
      </w:r>
      <w:r>
        <w:rPr>
          <w:rFonts w:hint="eastAsia" w:cs="宋体"/>
          <w:sz w:val="24"/>
          <w:lang w:val="en-US" w:eastAsia="zh-Hans"/>
        </w:rPr>
        <w:t>和编码</w:t>
      </w:r>
      <w:r>
        <w:rPr>
          <w:rFonts w:hint="eastAsia" w:cs="宋体"/>
          <w:sz w:val="24"/>
        </w:rPr>
        <w:t>，使之符合临床试验的实施需要。</w:t>
      </w:r>
    </w:p>
    <w:p w14:paraId="2D4C71C6">
      <w:pPr>
        <w:numPr>
          <w:ilvl w:val="0"/>
          <w:numId w:val="1"/>
        </w:numPr>
        <w:adjustRightInd w:val="0"/>
        <w:snapToGrid w:val="0"/>
        <w:spacing w:line="360" w:lineRule="auto"/>
        <w:ind w:left="0" w:firstLine="454"/>
        <w:rPr>
          <w:rFonts w:cs="宋体"/>
          <w:sz w:val="24"/>
        </w:rPr>
      </w:pPr>
      <w:r>
        <w:rPr>
          <w:rFonts w:hint="eastAsia" w:cs="宋体"/>
          <w:sz w:val="24"/>
        </w:rPr>
        <w:t>负责对乙方的研究人员进行该临床试验有关的培训。</w:t>
      </w:r>
    </w:p>
    <w:p w14:paraId="147049EE">
      <w:pPr>
        <w:numPr>
          <w:ilvl w:val="0"/>
          <w:numId w:val="1"/>
        </w:numPr>
        <w:adjustRightInd w:val="0"/>
        <w:snapToGrid w:val="0"/>
        <w:spacing w:line="360" w:lineRule="auto"/>
        <w:ind w:left="0" w:firstLine="454"/>
        <w:rPr>
          <w:rFonts w:cs="宋体"/>
          <w:sz w:val="24"/>
        </w:rPr>
      </w:pPr>
      <w:r>
        <w:rPr>
          <w:rFonts w:hint="eastAsia" w:cs="宋体"/>
          <w:sz w:val="24"/>
        </w:rPr>
        <w:t>为临床试验质量保证责任方，应建立对临床试验的质量控制和质量保证系统（详见第五条）。</w:t>
      </w:r>
    </w:p>
    <w:p w14:paraId="0F52142C">
      <w:pPr>
        <w:numPr>
          <w:ilvl w:val="0"/>
          <w:numId w:val="1"/>
        </w:numPr>
        <w:adjustRightInd w:val="0"/>
        <w:snapToGrid w:val="0"/>
        <w:spacing w:line="360" w:lineRule="auto"/>
        <w:ind w:left="0" w:firstLine="454"/>
        <w:rPr>
          <w:rFonts w:cs="宋体"/>
          <w:sz w:val="24"/>
        </w:rPr>
      </w:pPr>
      <w:r>
        <w:rPr>
          <w:rFonts w:hint="eastAsia" w:cs="宋体"/>
          <w:sz w:val="24"/>
        </w:rPr>
        <w:t>甲方应依据相关法规及时组织对临床试验的监查以保证质量。甲方应及时向乙方PI告知试验中存在问题，并抄送机构办，以便乙方采取相关措施改进试验操作。</w:t>
      </w:r>
    </w:p>
    <w:p w14:paraId="5C42274F">
      <w:pPr>
        <w:numPr>
          <w:ilvl w:val="0"/>
          <w:numId w:val="1"/>
        </w:numPr>
        <w:adjustRightInd w:val="0"/>
        <w:snapToGrid w:val="0"/>
        <w:spacing w:line="360" w:lineRule="auto"/>
        <w:ind w:left="0" w:firstLine="454"/>
        <w:rPr>
          <w:rFonts w:cs="宋体"/>
          <w:sz w:val="24"/>
        </w:rPr>
      </w:pPr>
      <w:r>
        <w:rPr>
          <w:rFonts w:hint="eastAsia" w:cs="宋体"/>
          <w:sz w:val="24"/>
        </w:rPr>
        <w:t>本试验一旦发生不良事件或严重不良事件，若需要甲方协调，甲方监查员或者负责人必须在48小时之内到达乙方所在地，负责协助处理严重不良事件后果并采取必要的措施，以保证受试者的安全和权益，并及时向药品监督管理部门和卫生健康主管部门报告，同时向涉及同一药物的临床试验的其他研究单位通报不良事件（详见第九条第5款）。</w:t>
      </w:r>
    </w:p>
    <w:p w14:paraId="4C0487BA">
      <w:pPr>
        <w:numPr>
          <w:ilvl w:val="0"/>
          <w:numId w:val="1"/>
        </w:numPr>
        <w:adjustRightInd w:val="0"/>
        <w:snapToGrid w:val="0"/>
        <w:spacing w:line="360" w:lineRule="auto"/>
        <w:ind w:left="0" w:firstLine="454"/>
        <w:rPr>
          <w:rFonts w:cs="宋体"/>
          <w:color w:val="auto"/>
          <w:sz w:val="24"/>
          <w:highlight w:val="none"/>
        </w:rPr>
      </w:pPr>
      <w:r>
        <w:rPr>
          <w:rFonts w:hint="eastAsia" w:cs="宋体"/>
          <w:color w:val="auto"/>
          <w:sz w:val="24"/>
          <w:highlight w:val="none"/>
        </w:rPr>
        <w:t>甲方负责为乙方医疗机构及乙方研究者提供法律上</w:t>
      </w:r>
      <w:r>
        <w:rPr>
          <w:rFonts w:hint="eastAsia" w:cs="宋体"/>
          <w:color w:val="auto"/>
          <w:sz w:val="24"/>
          <w:highlight w:val="none"/>
          <w:lang w:val="en-US" w:eastAsia="zh-Hans"/>
        </w:rPr>
        <w:t>的支撑</w:t>
      </w:r>
      <w:r>
        <w:rPr>
          <w:rFonts w:hint="eastAsia" w:cs="宋体"/>
          <w:color w:val="auto"/>
          <w:sz w:val="24"/>
          <w:highlight w:val="none"/>
        </w:rPr>
        <w:t>与经济上的</w:t>
      </w:r>
      <w:r>
        <w:rPr>
          <w:rFonts w:hint="eastAsia" w:cs="宋体"/>
          <w:color w:val="auto"/>
          <w:sz w:val="24"/>
          <w:highlight w:val="none"/>
          <w:lang w:val="en-US" w:eastAsia="zh-Hans"/>
        </w:rPr>
        <w:t>支</w:t>
      </w:r>
      <w:r>
        <w:rPr>
          <w:rFonts w:hint="eastAsia" w:cs="宋体"/>
          <w:color w:val="auto"/>
          <w:sz w:val="24"/>
          <w:highlight w:val="none"/>
          <w:lang w:val="en-US" w:eastAsia="zh-CN"/>
        </w:rPr>
        <w:t>持</w:t>
      </w:r>
      <w:r>
        <w:rPr>
          <w:rFonts w:hint="eastAsia" w:cs="宋体"/>
          <w:color w:val="auto"/>
          <w:sz w:val="24"/>
          <w:highlight w:val="none"/>
        </w:rPr>
        <w:t>。对发生与试验相关的损害（包括受试者损害、乙方医疗机构和研究者的损害），以及发生与试验相关的纠纷，甲方负责承担全部责任（由乙方不遵守法规或方案，或医疗事故所致者除外），包括</w:t>
      </w:r>
      <w:r>
        <w:rPr>
          <w:rFonts w:hint="eastAsia" w:cs="宋体"/>
          <w:color w:val="auto"/>
          <w:sz w:val="24"/>
          <w:highlight w:val="none"/>
          <w:lang w:val="en-US" w:eastAsia="zh-Hans"/>
        </w:rPr>
        <w:t>因造成损害所产生的</w:t>
      </w:r>
      <w:r>
        <w:rPr>
          <w:rFonts w:hint="eastAsia" w:cs="宋体"/>
          <w:color w:val="auto"/>
          <w:sz w:val="24"/>
          <w:highlight w:val="none"/>
        </w:rPr>
        <w:t>治疗费用</w:t>
      </w:r>
      <w:r>
        <w:rPr>
          <w:rFonts w:hint="eastAsia" w:cs="宋体"/>
          <w:color w:val="auto"/>
          <w:sz w:val="24"/>
          <w:highlight w:val="none"/>
          <w:lang w:val="en-US" w:eastAsia="zh-Hans"/>
        </w:rPr>
        <w:t>等相关赔偿费用</w:t>
      </w:r>
      <w:r>
        <w:rPr>
          <w:rFonts w:hint="eastAsia" w:cs="宋体"/>
          <w:color w:val="auto"/>
          <w:sz w:val="24"/>
          <w:highlight w:val="none"/>
        </w:rPr>
        <w:t>及相应的经济补偿（详见第九条）。</w:t>
      </w:r>
    </w:p>
    <w:p w14:paraId="631F317C">
      <w:pPr>
        <w:numPr>
          <w:ilvl w:val="0"/>
          <w:numId w:val="1"/>
        </w:numPr>
        <w:adjustRightInd w:val="0"/>
        <w:snapToGrid w:val="0"/>
        <w:spacing w:line="360" w:lineRule="auto"/>
        <w:ind w:left="0" w:firstLine="454"/>
        <w:rPr>
          <w:rFonts w:cs="宋体"/>
          <w:sz w:val="24"/>
        </w:rPr>
      </w:pPr>
      <w:r>
        <w:rPr>
          <w:rFonts w:hint="eastAsia" w:cs="宋体"/>
          <w:sz w:val="24"/>
        </w:rPr>
        <w:t>向乙方伦理委员会和临床试验机构递交最终的临床试验统计报告、总结报告以及所有附件。</w:t>
      </w:r>
    </w:p>
    <w:p w14:paraId="319FC988">
      <w:pPr>
        <w:numPr>
          <w:ilvl w:val="0"/>
          <w:numId w:val="1"/>
        </w:numPr>
        <w:adjustRightInd w:val="0"/>
        <w:snapToGrid w:val="0"/>
        <w:spacing w:line="360" w:lineRule="auto"/>
        <w:ind w:left="0" w:firstLine="454"/>
        <w:rPr>
          <w:rFonts w:cs="宋体"/>
          <w:sz w:val="24"/>
        </w:rPr>
      </w:pPr>
      <w:r>
        <w:rPr>
          <w:rFonts w:hint="eastAsia" w:cs="宋体"/>
          <w:sz w:val="24"/>
        </w:rPr>
        <w:t>甲方决定</w:t>
      </w:r>
      <w:r>
        <w:rPr>
          <w:rFonts w:hint="eastAsia" w:cs="宋体"/>
          <w:sz w:val="24"/>
          <w:lang w:val="en-US" w:eastAsia="zh-CN"/>
        </w:rPr>
        <w:t>终</w:t>
      </w:r>
      <w:r>
        <w:rPr>
          <w:rFonts w:hint="eastAsia" w:cs="宋体"/>
          <w:sz w:val="24"/>
        </w:rPr>
        <w:t>止临床试验前，须书面通知乙方、乙方研究者和伦理委员会，并述明理由。乙方同意试验</w:t>
      </w:r>
      <w:r>
        <w:rPr>
          <w:rFonts w:hint="eastAsia" w:cs="宋体"/>
          <w:sz w:val="24"/>
          <w:lang w:val="en-US" w:eastAsia="zh-CN"/>
        </w:rPr>
        <w:t>终</w:t>
      </w:r>
      <w:r>
        <w:rPr>
          <w:rFonts w:hint="eastAsia" w:cs="宋体"/>
          <w:sz w:val="24"/>
        </w:rPr>
        <w:t>止后，相关资料归档按照乙方的要求进行。</w:t>
      </w:r>
    </w:p>
    <w:p w14:paraId="3CEEC141">
      <w:pPr>
        <w:numPr>
          <w:ilvl w:val="0"/>
          <w:numId w:val="1"/>
        </w:numPr>
        <w:adjustRightInd w:val="0"/>
        <w:snapToGrid w:val="0"/>
        <w:spacing w:line="360" w:lineRule="auto"/>
        <w:ind w:left="0" w:firstLine="454"/>
        <w:rPr>
          <w:rFonts w:cs="宋体"/>
          <w:sz w:val="24"/>
        </w:rPr>
      </w:pPr>
      <w:r>
        <w:rPr>
          <w:rFonts w:hint="eastAsia" w:cs="宋体"/>
          <w:sz w:val="24"/>
        </w:rPr>
        <w:t>甲方应严格保护受试者隐私和信息，未经受试者书面同意，受试者的个人信息/标本等不能擅自用于商业宣传、商业开发及探索性研究。</w:t>
      </w:r>
    </w:p>
    <w:p w14:paraId="4134D49C">
      <w:pPr>
        <w:numPr>
          <w:ilvl w:val="0"/>
          <w:numId w:val="1"/>
        </w:numPr>
        <w:adjustRightInd w:val="0"/>
        <w:snapToGrid w:val="0"/>
        <w:spacing w:line="360" w:lineRule="auto"/>
        <w:ind w:left="0" w:firstLine="454"/>
        <w:rPr>
          <w:rFonts w:cs="宋体"/>
          <w:sz w:val="24"/>
        </w:rPr>
      </w:pPr>
      <w:r>
        <w:rPr>
          <w:rFonts w:hint="eastAsia" w:cs="宋体"/>
          <w:sz w:val="24"/>
        </w:rPr>
        <w:t>提供并按约定支付临床试验费用。</w:t>
      </w:r>
    </w:p>
    <w:p w14:paraId="76B957E5">
      <w:pPr>
        <w:numPr>
          <w:ilvl w:val="0"/>
          <w:numId w:val="1"/>
        </w:numPr>
        <w:adjustRightInd w:val="0"/>
        <w:snapToGrid w:val="0"/>
        <w:spacing w:line="360" w:lineRule="auto"/>
        <w:ind w:left="0" w:firstLine="454"/>
        <w:rPr>
          <w:rFonts w:cs="宋体"/>
          <w:sz w:val="24"/>
        </w:rPr>
      </w:pPr>
      <w:r>
        <w:rPr>
          <w:rFonts w:hint="eastAsia" w:cs="宋体"/>
          <w:sz w:val="24"/>
        </w:rPr>
        <w:t>必要时甲方派出稽查员或委托第三方对项目进行稽查，对发现的问题及时反馈给研究者进行整改，发现的问题及整改情况同时抄送机构办备案。</w:t>
      </w:r>
    </w:p>
    <w:p w14:paraId="41375609">
      <w:pPr>
        <w:numPr>
          <w:ilvl w:val="0"/>
          <w:numId w:val="1"/>
        </w:numPr>
        <w:adjustRightInd w:val="0"/>
        <w:snapToGrid w:val="0"/>
        <w:spacing w:line="360" w:lineRule="auto"/>
        <w:ind w:left="0" w:firstLine="454"/>
        <w:rPr>
          <w:rFonts w:cs="宋体"/>
          <w:sz w:val="24"/>
        </w:rPr>
      </w:pPr>
      <w:r>
        <w:rPr>
          <w:rFonts w:hint="eastAsia" w:cs="宋体"/>
          <w:sz w:val="24"/>
        </w:rPr>
        <w:t>甲方需帮助乙方选择第三方SMO公司的合格的CRC参与临床试验，或由乙方自行选择CRC，产生的CRC费用由甲方承担，委托协议将另行签署。</w:t>
      </w:r>
    </w:p>
    <w:p w14:paraId="18159DAF">
      <w:pPr>
        <w:numPr>
          <w:ilvl w:val="0"/>
          <w:numId w:val="1"/>
        </w:numPr>
        <w:adjustRightInd w:val="0"/>
        <w:snapToGrid w:val="0"/>
        <w:spacing w:line="360" w:lineRule="auto"/>
        <w:ind w:left="0" w:firstLine="454"/>
        <w:rPr>
          <w:rFonts w:cs="宋体"/>
          <w:sz w:val="24"/>
        </w:rPr>
      </w:pPr>
      <w:r>
        <w:rPr>
          <w:rFonts w:hint="eastAsia" w:cs="宋体"/>
          <w:sz w:val="24"/>
        </w:rPr>
        <w:t>在试验进行中或结束后，甲方收到任何来源的安全性相关信息后，均应当立即分析评估，包括严重性，与试验药物的相关性以及是否为预期事件等。甲方应当将可疑且非预期严重不良反应快速报告给所有参加临床试验的临床试验机构、研究者及伦理委员会；甲方应当向药品监督管理部门和卫生健康主管部门报告可疑且非预期严重不良反应。</w:t>
      </w:r>
    </w:p>
    <w:p w14:paraId="41344FEB">
      <w:pPr>
        <w:numPr>
          <w:ilvl w:val="0"/>
          <w:numId w:val="1"/>
        </w:numPr>
        <w:adjustRightInd w:val="0"/>
        <w:snapToGrid w:val="0"/>
        <w:spacing w:line="360" w:lineRule="auto"/>
        <w:ind w:left="0" w:firstLine="454"/>
        <w:rPr>
          <w:rFonts w:cs="宋体"/>
          <w:sz w:val="24"/>
        </w:rPr>
      </w:pPr>
      <w:r>
        <w:rPr>
          <w:rFonts w:hint="eastAsia" w:cs="宋体"/>
          <w:sz w:val="24"/>
          <w:lang w:val="en-US" w:eastAsia="zh-Hans"/>
        </w:rPr>
        <w:t>甲方</w:t>
      </w:r>
      <w:r>
        <w:rPr>
          <w:rFonts w:cs="宋体"/>
          <w:sz w:val="24"/>
        </w:rPr>
        <w:t>的监查和稽查、药品监督管理部门的检查可直接到试验现场，查阅源数据、源文件和报告。</w:t>
      </w:r>
    </w:p>
    <w:p w14:paraId="770C52F6">
      <w:pPr>
        <w:numPr>
          <w:ilvl w:val="0"/>
          <w:numId w:val="1"/>
        </w:numPr>
        <w:adjustRightInd w:val="0"/>
        <w:snapToGrid w:val="0"/>
        <w:spacing w:line="360" w:lineRule="auto"/>
        <w:ind w:left="0" w:firstLine="454"/>
        <w:rPr>
          <w:rFonts w:cs="宋体"/>
          <w:sz w:val="24"/>
        </w:rPr>
      </w:pPr>
      <w:r>
        <w:rPr>
          <w:rFonts w:hint="eastAsia" w:cs="宋体"/>
          <w:sz w:val="24"/>
          <w:lang w:val="en-US" w:eastAsia="zh-Hans"/>
        </w:rPr>
        <w:t>甲方应按照</w:t>
      </w:r>
      <w:r>
        <w:rPr>
          <w:rFonts w:hint="eastAsia" w:cs="宋体"/>
          <w:bCs/>
          <w:sz w:val="24"/>
        </w:rPr>
        <w:t>《药物临床试验质量管理规范》</w:t>
      </w:r>
      <w:r>
        <w:rPr>
          <w:rFonts w:hint="eastAsia" w:cs="宋体"/>
          <w:bCs/>
          <w:sz w:val="24"/>
          <w:lang w:val="en-US" w:eastAsia="zh-Hans"/>
        </w:rPr>
        <w:t>规定履行药品运输</w:t>
      </w:r>
      <w:r>
        <w:rPr>
          <w:rFonts w:hint="default" w:cs="宋体"/>
          <w:bCs/>
          <w:sz w:val="24"/>
          <w:lang w:eastAsia="zh-Hans"/>
        </w:rPr>
        <w:t>、</w:t>
      </w:r>
      <w:r>
        <w:rPr>
          <w:rFonts w:hint="eastAsia" w:cs="宋体"/>
          <w:bCs/>
          <w:sz w:val="24"/>
          <w:lang w:val="en-US" w:eastAsia="zh-Hans"/>
        </w:rPr>
        <w:t>回收</w:t>
      </w:r>
      <w:r>
        <w:rPr>
          <w:rFonts w:hint="default" w:cs="宋体"/>
          <w:bCs/>
          <w:sz w:val="24"/>
          <w:lang w:eastAsia="zh-Hans"/>
        </w:rPr>
        <w:t>、</w:t>
      </w:r>
      <w:r>
        <w:rPr>
          <w:rFonts w:hint="eastAsia" w:cs="宋体"/>
          <w:bCs/>
          <w:sz w:val="24"/>
          <w:lang w:val="en-US" w:eastAsia="zh-Hans"/>
        </w:rPr>
        <w:t>销毁</w:t>
      </w:r>
      <w:r>
        <w:rPr>
          <w:rFonts w:hint="default" w:cs="宋体"/>
          <w:bCs/>
          <w:sz w:val="24"/>
          <w:lang w:eastAsia="zh-Hans"/>
        </w:rPr>
        <w:t>、</w:t>
      </w:r>
      <w:r>
        <w:rPr>
          <w:rFonts w:hint="eastAsia" w:cs="宋体"/>
          <w:bCs/>
          <w:sz w:val="24"/>
          <w:lang w:val="en-US" w:eastAsia="zh-Hans"/>
        </w:rPr>
        <w:t>文件保存等义务</w:t>
      </w:r>
      <w:r>
        <w:rPr>
          <w:rFonts w:hint="default" w:cs="宋体"/>
          <w:bCs/>
          <w:sz w:val="24"/>
          <w:lang w:eastAsia="zh-Hans"/>
        </w:rPr>
        <w:t>。</w:t>
      </w:r>
    </w:p>
    <w:p w14:paraId="799C6426">
      <w:pPr>
        <w:adjustRightInd w:val="0"/>
        <w:snapToGrid w:val="0"/>
        <w:spacing w:line="360" w:lineRule="auto"/>
        <w:ind w:firstLine="482" w:firstLineChars="200"/>
        <w:rPr>
          <w:rFonts w:cs="宋体"/>
          <w:b/>
          <w:sz w:val="24"/>
        </w:rPr>
      </w:pPr>
      <w:r>
        <w:rPr>
          <w:rFonts w:hint="eastAsia" w:cs="宋体"/>
          <w:b/>
          <w:sz w:val="24"/>
        </w:rPr>
        <w:t>4.乙方应承担的责任的义务：</w:t>
      </w:r>
    </w:p>
    <w:p w14:paraId="69A65CA4">
      <w:pPr>
        <w:numPr>
          <w:ilvl w:val="0"/>
          <w:numId w:val="2"/>
        </w:numPr>
        <w:adjustRightInd w:val="0"/>
        <w:snapToGrid w:val="0"/>
        <w:spacing w:line="360" w:lineRule="auto"/>
        <w:ind w:left="0" w:firstLine="454"/>
        <w:rPr>
          <w:rFonts w:cs="宋体"/>
          <w:sz w:val="24"/>
        </w:rPr>
      </w:pPr>
      <w:r>
        <w:rPr>
          <w:rFonts w:hint="eastAsia" w:cs="宋体"/>
          <w:sz w:val="24"/>
        </w:rPr>
        <w:t>乙方临床试验管理部门负责与甲方共同对主要研究者及其研究团队进行资格审核，以选择合格的研究人员。</w:t>
      </w:r>
    </w:p>
    <w:p w14:paraId="76F8D8EB">
      <w:pPr>
        <w:numPr>
          <w:ilvl w:val="0"/>
          <w:numId w:val="2"/>
        </w:numPr>
        <w:adjustRightInd w:val="0"/>
        <w:snapToGrid w:val="0"/>
        <w:spacing w:line="360" w:lineRule="auto"/>
        <w:ind w:left="0" w:firstLine="454"/>
        <w:rPr>
          <w:rFonts w:cs="宋体"/>
          <w:sz w:val="24"/>
        </w:rPr>
      </w:pPr>
      <w:r>
        <w:rPr>
          <w:rFonts w:hint="eastAsia" w:cs="宋体"/>
          <w:sz w:val="24"/>
        </w:rPr>
        <w:t>乙方临床试验管理部门（药物/医疗器械临床试验</w:t>
      </w:r>
      <w:r>
        <w:rPr>
          <w:rFonts w:hint="eastAsia" w:cs="宋体"/>
          <w:sz w:val="24"/>
          <w:lang w:val="en-US" w:eastAsia="zh-CN"/>
        </w:rPr>
        <w:t>机构</w:t>
      </w:r>
      <w:r>
        <w:rPr>
          <w:rFonts w:hint="eastAsia" w:cs="宋体"/>
          <w:sz w:val="24"/>
        </w:rPr>
        <w:t>办公室）负责合同的管理以及甲方提供的经费的管理，协调甲方提出的临床试验相关的要求。</w:t>
      </w:r>
    </w:p>
    <w:p w14:paraId="1A475A0C">
      <w:pPr>
        <w:numPr>
          <w:ilvl w:val="0"/>
          <w:numId w:val="2"/>
        </w:numPr>
        <w:adjustRightInd w:val="0"/>
        <w:snapToGrid w:val="0"/>
        <w:spacing w:line="360" w:lineRule="auto"/>
        <w:ind w:left="0" w:firstLine="454"/>
        <w:rPr>
          <w:rFonts w:cs="宋体"/>
          <w:sz w:val="24"/>
        </w:rPr>
      </w:pPr>
      <w:r>
        <w:rPr>
          <w:rFonts w:hint="eastAsia" w:cs="宋体"/>
          <w:sz w:val="24"/>
        </w:rPr>
        <w:t>主要研究者协助甲方制定临床试验方案，负责与甲方准备临床试验项目资料并审核，研究者必须熟悉甲方提供的临床试验方案等资料，根据自身的资质、设施、条件等情况综合评估是否可以承担该试验，确保满足《药物临床试验质量管理规范》中研究者职责项下的全部条件。</w:t>
      </w:r>
    </w:p>
    <w:p w14:paraId="40F477C2">
      <w:pPr>
        <w:numPr>
          <w:ilvl w:val="0"/>
          <w:numId w:val="2"/>
        </w:numPr>
        <w:adjustRightInd w:val="0"/>
        <w:snapToGrid w:val="0"/>
        <w:spacing w:line="360" w:lineRule="auto"/>
        <w:ind w:left="0" w:firstLine="454"/>
        <w:rPr>
          <w:rFonts w:cs="宋体"/>
          <w:sz w:val="24"/>
        </w:rPr>
      </w:pPr>
      <w:r>
        <w:rPr>
          <w:rFonts w:hint="eastAsia" w:cs="宋体"/>
          <w:sz w:val="24"/>
        </w:rPr>
        <w:t>主要研究者负责组建临床试验的团队，并做好分工和授权，负责组织、协调、督促参加试验的研究者及其他人员，严格按照伦理委员会批准的研究方案，《药物临床试验质量管理规范》及其他相关法律法规进行临床试验，力争按时完成临床试验。</w:t>
      </w:r>
    </w:p>
    <w:p w14:paraId="3C3C829E">
      <w:pPr>
        <w:numPr>
          <w:ilvl w:val="0"/>
          <w:numId w:val="2"/>
        </w:numPr>
        <w:adjustRightInd w:val="0"/>
        <w:snapToGrid w:val="0"/>
        <w:spacing w:line="360" w:lineRule="auto"/>
        <w:ind w:left="0" w:firstLine="454"/>
        <w:rPr>
          <w:rFonts w:cs="宋体"/>
          <w:sz w:val="24"/>
        </w:rPr>
      </w:pPr>
      <w:r>
        <w:rPr>
          <w:rFonts w:hint="eastAsia" w:cs="宋体"/>
          <w:sz w:val="24"/>
        </w:rPr>
        <w:t>主要研究者负责接受由甲方委派的临床监查员的监查，对于甲方监查员或者机构内部质控员在检查过程中发现的问题及时整改完善，并根据要求反馈整改结果，以保证临床试验质量。</w:t>
      </w:r>
    </w:p>
    <w:p w14:paraId="163506FE">
      <w:pPr>
        <w:numPr>
          <w:ilvl w:val="0"/>
          <w:numId w:val="2"/>
        </w:numPr>
        <w:adjustRightInd w:val="0"/>
        <w:snapToGrid w:val="0"/>
        <w:spacing w:line="360" w:lineRule="auto"/>
        <w:ind w:left="0" w:firstLine="454"/>
        <w:rPr>
          <w:rFonts w:cs="宋体"/>
          <w:sz w:val="24"/>
        </w:rPr>
      </w:pPr>
      <w:r>
        <w:rPr>
          <w:rFonts w:hint="eastAsia" w:cs="宋体"/>
          <w:sz w:val="24"/>
        </w:rPr>
        <w:t>主要研究者负责保证提供的研究结果和数据的准确、真实、可靠，保证所有的临床试验数据均有原始记录并可以溯源，保存好所有的原始记录，保证将数据等原始记录准确、真实、完整、及时、合法地载入病历。</w:t>
      </w:r>
    </w:p>
    <w:p w14:paraId="2FE615D3">
      <w:pPr>
        <w:numPr>
          <w:ilvl w:val="0"/>
          <w:numId w:val="2"/>
        </w:numPr>
        <w:adjustRightInd w:val="0"/>
        <w:snapToGrid w:val="0"/>
        <w:spacing w:line="360" w:lineRule="auto"/>
        <w:ind w:left="0" w:firstLine="454"/>
        <w:rPr>
          <w:rFonts w:cs="宋体"/>
          <w:sz w:val="24"/>
        </w:rPr>
      </w:pPr>
      <w:r>
        <w:rPr>
          <w:rFonts w:hint="eastAsia" w:cs="宋体"/>
          <w:sz w:val="24"/>
        </w:rPr>
        <w:t>在临床试验和随访期间，对于受试者出现与试验相关的不良事件，包括有临床意义的实验室异常时，研究者和临床试验机构应当保证受试者得到妥善的医疗处理，并将相关情况如实告知受试者。研究者意识到受试者存在合并疾病需要治疗时，应当告知受试者，并关注可能干扰临床试验结果或者受试者安全的合并用药。</w:t>
      </w:r>
    </w:p>
    <w:p w14:paraId="15F52275">
      <w:pPr>
        <w:numPr>
          <w:ilvl w:val="0"/>
          <w:numId w:val="2"/>
        </w:numPr>
        <w:adjustRightInd w:val="0"/>
        <w:snapToGrid w:val="0"/>
        <w:spacing w:line="360" w:lineRule="auto"/>
        <w:ind w:left="0" w:firstLine="454"/>
        <w:rPr>
          <w:rFonts w:cs="宋体"/>
          <w:sz w:val="24"/>
        </w:rPr>
      </w:pPr>
      <w:r>
        <w:rPr>
          <w:rFonts w:hint="eastAsia" w:cs="宋体"/>
          <w:sz w:val="24"/>
        </w:rPr>
        <w:t>除试验方案或者其他文件（如研究者手册）中规定不需立即报告的严重不良事件外，研究者应当立即向申办者书面报告所有严重不良事件，随后应当及时提供详尽、书面的随访报告。严重不良事件报告和随访报告应当注明受试者在临床试验中的鉴认代码，而不是受试者的真实姓名、公民身份号码和住址等身份信息。试验方案中规定的、对安全性评价重要的不良事件和实验室异常值，应当按照试验方案的要求和时限向申办者报告。研究者收到申办者提供的临床试验的相关安全性信息后应当及时签收阅读，同时考虑受试者的治疗是否进行相应调整，必要时尽早与受试者沟通，并应当向伦理委员会报告由申办方提供的可疑且非预期严重不良反应。</w:t>
      </w:r>
    </w:p>
    <w:p w14:paraId="63FF4EC6">
      <w:pPr>
        <w:numPr>
          <w:ilvl w:val="0"/>
          <w:numId w:val="2"/>
        </w:numPr>
        <w:adjustRightInd w:val="0"/>
        <w:snapToGrid w:val="0"/>
        <w:spacing w:line="360" w:lineRule="auto"/>
        <w:ind w:left="0" w:firstLine="454"/>
        <w:rPr>
          <w:rFonts w:cs="宋体"/>
          <w:sz w:val="24"/>
        </w:rPr>
      </w:pPr>
      <w:r>
        <w:rPr>
          <w:rFonts w:hint="eastAsia" w:cs="宋体"/>
          <w:sz w:val="24"/>
        </w:rPr>
        <w:t>在收到数据统计分析部门对病例报告表的询问表后，应及时提供反馈信息。</w:t>
      </w:r>
    </w:p>
    <w:p w14:paraId="4D63D78C">
      <w:pPr>
        <w:numPr>
          <w:ilvl w:val="0"/>
          <w:numId w:val="2"/>
        </w:numPr>
        <w:adjustRightInd w:val="0"/>
        <w:snapToGrid w:val="0"/>
        <w:spacing w:line="360" w:lineRule="auto"/>
        <w:ind w:left="0" w:firstLine="454"/>
        <w:rPr>
          <w:rFonts w:cs="宋体"/>
          <w:sz w:val="24"/>
        </w:rPr>
      </w:pPr>
      <w:r>
        <w:rPr>
          <w:rFonts w:hint="eastAsia" w:cs="宋体"/>
          <w:sz w:val="24"/>
        </w:rPr>
        <w:t>研究者应与甲方商定有关临床试验的费用，并在合同中写明。如临床试验由甲方提供药物和费用，研究者在临床试验过程中，不得向受试者收取试验用药、相关检查等所需的费用。</w:t>
      </w:r>
    </w:p>
    <w:p w14:paraId="02B1430C">
      <w:pPr>
        <w:numPr>
          <w:ilvl w:val="0"/>
          <w:numId w:val="2"/>
        </w:numPr>
        <w:adjustRightInd w:val="0"/>
        <w:snapToGrid w:val="0"/>
        <w:spacing w:line="360" w:lineRule="auto"/>
        <w:ind w:left="0" w:firstLine="454"/>
        <w:rPr>
          <w:rFonts w:cs="宋体"/>
          <w:sz w:val="24"/>
        </w:rPr>
      </w:pPr>
      <w:r>
        <w:rPr>
          <w:rFonts w:hint="eastAsia" w:cs="宋体"/>
          <w:sz w:val="24"/>
        </w:rPr>
        <w:t>研究者中止一项临床试验必须通知受试者、甲方、伦理委员会、药物临床试验机构和药品监督管理部门，并阐明理由。</w:t>
      </w:r>
    </w:p>
    <w:p w14:paraId="308AC51C">
      <w:pPr>
        <w:numPr>
          <w:ilvl w:val="0"/>
          <w:numId w:val="2"/>
        </w:numPr>
        <w:adjustRightInd w:val="0"/>
        <w:snapToGrid w:val="0"/>
        <w:spacing w:line="360" w:lineRule="auto"/>
        <w:ind w:left="0" w:firstLine="454"/>
        <w:rPr>
          <w:rFonts w:cs="宋体"/>
          <w:sz w:val="24"/>
        </w:rPr>
      </w:pPr>
      <w:r>
        <w:rPr>
          <w:rFonts w:hint="eastAsia" w:cs="宋体"/>
          <w:sz w:val="24"/>
        </w:rPr>
        <w:t>如果主要研究者从研究机构离职或由于其他原因不能继续开展本研究，机构将及时提前通知甲方。如果委任新的主要研究者，必须事先征得甲方的同意。</w:t>
      </w:r>
    </w:p>
    <w:p w14:paraId="569F3F73">
      <w:pPr>
        <w:pStyle w:val="2"/>
      </w:pPr>
      <w:r>
        <w:rPr>
          <w:rFonts w:hint="eastAsia"/>
        </w:rPr>
        <w:t>三.经费预算及付款计划</w:t>
      </w:r>
    </w:p>
    <w:p w14:paraId="75409763">
      <w:pPr>
        <w:adjustRightInd w:val="0"/>
        <w:snapToGrid w:val="0"/>
        <w:spacing w:line="360" w:lineRule="auto"/>
        <w:ind w:firstLine="482" w:firstLineChars="200"/>
        <w:rPr>
          <w:rFonts w:hint="eastAsia" w:cs="宋体"/>
          <w:b/>
          <w:sz w:val="24"/>
          <w:lang w:eastAsia="zh-CN"/>
        </w:rPr>
      </w:pPr>
      <w:r>
        <w:rPr>
          <w:rFonts w:hint="eastAsia" w:cs="宋体"/>
          <w:b/>
          <w:sz w:val="24"/>
        </w:rPr>
        <w:t>（一）项目总费用：**.**元</w:t>
      </w:r>
      <w:r>
        <w:rPr>
          <w:rFonts w:hint="eastAsia" w:cs="宋体"/>
          <w:b/>
          <w:sz w:val="24"/>
          <w:lang w:eastAsia="zh-CN"/>
        </w:rPr>
        <w:t>（</w:t>
      </w:r>
      <w:r>
        <w:rPr>
          <w:rFonts w:hint="eastAsia" w:cs="宋体"/>
          <w:b/>
          <w:sz w:val="24"/>
          <w:lang w:val="en-US" w:eastAsia="zh-CN"/>
        </w:rPr>
        <w:t xml:space="preserve">大写：            </w:t>
      </w:r>
      <w:r>
        <w:rPr>
          <w:rFonts w:hint="eastAsia" w:cs="宋体"/>
          <w:b/>
          <w:sz w:val="24"/>
          <w:lang w:eastAsia="zh-CN"/>
        </w:rPr>
        <w:t>）</w:t>
      </w:r>
    </w:p>
    <w:p w14:paraId="646D8E7A">
      <w:pPr>
        <w:adjustRightInd w:val="0"/>
        <w:snapToGrid w:val="0"/>
        <w:spacing w:line="360" w:lineRule="auto"/>
        <w:ind w:firstLine="482" w:firstLineChars="200"/>
        <w:rPr>
          <w:rFonts w:cs="宋体"/>
          <w:b/>
          <w:sz w:val="24"/>
        </w:rPr>
      </w:pPr>
      <w:r>
        <w:rPr>
          <w:rFonts w:hint="eastAsia" w:cs="宋体"/>
          <w:b/>
          <w:sz w:val="24"/>
        </w:rPr>
        <w:t>1、伦理费用：</w:t>
      </w:r>
      <w:r>
        <w:rPr>
          <w:rFonts w:hint="eastAsia" w:cs="宋体"/>
          <w:bCs/>
          <w:sz w:val="24"/>
        </w:rPr>
        <w:t>本试验</w:t>
      </w:r>
      <w:r>
        <w:rPr>
          <w:rFonts w:hint="eastAsia" w:cs="宋体"/>
          <w:sz w:val="24"/>
        </w:rPr>
        <w:t>伦理审查费用</w:t>
      </w:r>
      <w:r>
        <w:rPr>
          <w:rFonts w:hint="eastAsia" w:cs="宋体"/>
          <w:sz w:val="24"/>
          <w:lang w:val="en-US" w:eastAsia="zh-CN"/>
        </w:rPr>
        <w:t>预</w:t>
      </w:r>
      <w:r>
        <w:rPr>
          <w:rFonts w:hint="eastAsia" w:cs="宋体"/>
          <w:sz w:val="24"/>
        </w:rPr>
        <w:t>计**.**元，含以下三项：</w:t>
      </w:r>
    </w:p>
    <w:p w14:paraId="0E236B21">
      <w:pPr>
        <w:pStyle w:val="16"/>
        <w:adjustRightInd w:val="0"/>
        <w:snapToGrid w:val="0"/>
        <w:spacing w:line="360" w:lineRule="auto"/>
        <w:ind w:left="562" w:firstLine="0" w:firstLineChars="0"/>
        <w:rPr>
          <w:rFonts w:cs="宋体"/>
          <w:sz w:val="24"/>
          <w:szCs w:val="24"/>
        </w:rPr>
      </w:pPr>
      <w:r>
        <w:rPr>
          <w:rFonts w:hint="eastAsia" w:cs="宋体"/>
          <w:sz w:val="24"/>
          <w:szCs w:val="24"/>
        </w:rPr>
        <w:t>1.1本试验伦理初期审查费用为</w:t>
      </w:r>
      <w:r>
        <w:rPr>
          <w:rFonts w:hint="eastAsia" w:cs="宋体"/>
          <w:sz w:val="24"/>
        </w:rPr>
        <w:t>**.**</w:t>
      </w:r>
      <w:r>
        <w:rPr>
          <w:rFonts w:hint="eastAsia" w:cs="宋体"/>
          <w:sz w:val="24"/>
          <w:szCs w:val="24"/>
        </w:rPr>
        <w:t>元，结题审查费用为</w:t>
      </w:r>
      <w:r>
        <w:rPr>
          <w:rFonts w:hint="eastAsia" w:cs="宋体"/>
          <w:sz w:val="24"/>
        </w:rPr>
        <w:t>**.**</w:t>
      </w:r>
      <w:r>
        <w:rPr>
          <w:rFonts w:hint="eastAsia" w:cs="宋体"/>
          <w:sz w:val="24"/>
          <w:szCs w:val="24"/>
        </w:rPr>
        <w:t>元，共计</w:t>
      </w:r>
      <w:r>
        <w:rPr>
          <w:rFonts w:hint="eastAsia" w:cs="宋体"/>
          <w:sz w:val="24"/>
        </w:rPr>
        <w:t>**.**</w:t>
      </w:r>
      <w:r>
        <w:rPr>
          <w:rFonts w:hint="eastAsia" w:cs="宋体"/>
          <w:sz w:val="24"/>
          <w:szCs w:val="24"/>
        </w:rPr>
        <w:t>元；</w:t>
      </w:r>
    </w:p>
    <w:p w14:paraId="5A2E1367">
      <w:pPr>
        <w:pStyle w:val="16"/>
        <w:adjustRightInd w:val="0"/>
        <w:snapToGrid w:val="0"/>
        <w:spacing w:line="360" w:lineRule="auto"/>
        <w:ind w:left="562" w:firstLine="0" w:firstLineChars="0"/>
        <w:rPr>
          <w:rFonts w:cs="宋体"/>
          <w:sz w:val="24"/>
          <w:szCs w:val="24"/>
        </w:rPr>
      </w:pPr>
      <w:r>
        <w:rPr>
          <w:rFonts w:hint="eastAsia" w:cs="宋体"/>
          <w:sz w:val="24"/>
          <w:szCs w:val="24"/>
        </w:rPr>
        <w:t>1.2.其他伦理审查费用按实际发生结算</w:t>
      </w:r>
      <w:r>
        <w:rPr>
          <w:rFonts w:hint="eastAsia" w:cs="宋体"/>
          <w:sz w:val="24"/>
          <w:szCs w:val="24"/>
          <w:lang w:eastAsia="zh-CN"/>
        </w:rPr>
        <w:t>，</w:t>
      </w:r>
      <w:r>
        <w:rPr>
          <w:rFonts w:hint="eastAsia" w:cs="宋体"/>
          <w:sz w:val="24"/>
          <w:szCs w:val="24"/>
          <w:lang w:val="en-US" w:eastAsia="zh-CN"/>
        </w:rPr>
        <w:t>快审XXX元/次，会议审查XXX元/次</w:t>
      </w:r>
      <w:r>
        <w:rPr>
          <w:rFonts w:hint="eastAsia" w:cs="宋体"/>
          <w:sz w:val="24"/>
          <w:szCs w:val="24"/>
        </w:rPr>
        <w:t>；</w:t>
      </w:r>
    </w:p>
    <w:p w14:paraId="791C1AE6">
      <w:pPr>
        <w:pStyle w:val="16"/>
        <w:adjustRightInd w:val="0"/>
        <w:snapToGrid w:val="0"/>
        <w:spacing w:line="360" w:lineRule="auto"/>
        <w:ind w:left="562" w:firstLine="0" w:firstLineChars="0"/>
        <w:rPr>
          <w:rFonts w:cs="宋体"/>
          <w:sz w:val="24"/>
          <w:szCs w:val="24"/>
        </w:rPr>
      </w:pPr>
      <w:r>
        <w:rPr>
          <w:rFonts w:hint="eastAsia" w:cs="宋体"/>
          <w:sz w:val="24"/>
          <w:szCs w:val="24"/>
        </w:rPr>
        <w:t>1.3伦理审查费用需加收</w:t>
      </w:r>
      <w:r>
        <w:rPr>
          <w:rFonts w:hint="eastAsia" w:cs="宋体"/>
          <w:sz w:val="24"/>
          <w:szCs w:val="24"/>
          <w:lang w:val="en-US" w:eastAsia="zh-CN"/>
        </w:rPr>
        <w:t>1</w:t>
      </w:r>
      <w:r>
        <w:rPr>
          <w:rFonts w:hint="eastAsia" w:cs="宋体"/>
          <w:sz w:val="24"/>
          <w:szCs w:val="24"/>
        </w:rPr>
        <w:t>%税费。</w:t>
      </w:r>
    </w:p>
    <w:p w14:paraId="0FBE5C40">
      <w:pPr>
        <w:adjustRightInd w:val="0"/>
        <w:snapToGrid w:val="0"/>
        <w:spacing w:line="360" w:lineRule="auto"/>
        <w:ind w:firstLine="482" w:firstLineChars="200"/>
        <w:rPr>
          <w:rFonts w:cs="宋体"/>
          <w:b/>
          <w:sz w:val="24"/>
        </w:rPr>
      </w:pPr>
      <w:r>
        <w:rPr>
          <w:rFonts w:hint="eastAsia" w:cs="宋体"/>
          <w:b/>
          <w:sz w:val="24"/>
        </w:rPr>
        <w:t>2、试验费用：</w:t>
      </w:r>
      <w:r>
        <w:rPr>
          <w:rFonts w:hint="eastAsia" w:cs="宋体"/>
          <w:bCs/>
          <w:sz w:val="24"/>
        </w:rPr>
        <w:t>本</w:t>
      </w:r>
      <w:r>
        <w:rPr>
          <w:rFonts w:hint="eastAsia" w:cs="宋体"/>
          <w:sz w:val="24"/>
        </w:rPr>
        <w:t>试验费用共计人民币**.**元，包括以下2.1、2.2、2.3、2.4、2.5、2.6部分。</w:t>
      </w:r>
    </w:p>
    <w:p w14:paraId="412CCF06">
      <w:pPr>
        <w:pStyle w:val="16"/>
        <w:adjustRightInd w:val="0"/>
        <w:snapToGrid w:val="0"/>
        <w:spacing w:line="360" w:lineRule="auto"/>
        <w:ind w:firstLine="562" w:firstLineChars="0"/>
        <w:rPr>
          <w:rFonts w:cs="宋体"/>
          <w:sz w:val="24"/>
          <w:szCs w:val="24"/>
        </w:rPr>
      </w:pPr>
      <w:r>
        <w:rPr>
          <w:rFonts w:hint="eastAsia" w:cs="宋体"/>
          <w:bCs/>
          <w:sz w:val="24"/>
          <w:szCs w:val="24"/>
        </w:rPr>
        <w:t>2.1</w:t>
      </w:r>
      <w:r>
        <w:rPr>
          <w:rFonts w:hint="eastAsia" w:cs="宋体"/>
          <w:sz w:val="24"/>
          <w:szCs w:val="24"/>
        </w:rPr>
        <w:t>观察费（研究者劳务费）：对于符合方案的合格病例，研究者劳务费为**元/例，共*例，共**元；</w:t>
      </w:r>
    </w:p>
    <w:p w14:paraId="04F23732">
      <w:pPr>
        <w:pStyle w:val="16"/>
        <w:adjustRightInd w:val="0"/>
        <w:snapToGrid w:val="0"/>
        <w:spacing w:line="360" w:lineRule="auto"/>
        <w:ind w:firstLine="562" w:firstLineChars="0"/>
        <w:rPr>
          <w:rFonts w:cs="宋体"/>
          <w:sz w:val="24"/>
          <w:szCs w:val="24"/>
        </w:rPr>
      </w:pPr>
      <w:r>
        <w:rPr>
          <w:rFonts w:cs="宋体"/>
          <w:bCs/>
          <w:sz w:val="24"/>
          <w:szCs w:val="24"/>
        </w:rPr>
        <w:t>2.</w:t>
      </w:r>
      <w:r>
        <w:rPr>
          <w:rFonts w:hint="eastAsia" w:cs="宋体"/>
          <w:bCs/>
          <w:sz w:val="24"/>
          <w:szCs w:val="24"/>
        </w:rPr>
        <w:t>2</w:t>
      </w:r>
      <w:r>
        <w:rPr>
          <w:rFonts w:hint="eastAsia" w:cs="宋体"/>
          <w:sz w:val="24"/>
          <w:szCs w:val="24"/>
        </w:rPr>
        <w:t>机构研究费用：</w:t>
      </w:r>
      <w:r>
        <w:rPr>
          <w:rFonts w:ascii="宋体" w:hAnsi="宋体" w:eastAsia="宋体" w:cs="宋体"/>
          <w:sz w:val="24"/>
          <w:szCs w:val="24"/>
        </w:rPr>
        <w:t>包括立项费用（研究者劳务费的4%）、药物管理费（研究者劳务费的9%）、质控费用（研究者劳务费的9%）、结题费用（研究者劳务费的4%）、规定期限内资料保管费用（研究者劳务费的4%）等，共计观察费（研究者劳务费）的30%</w:t>
      </w:r>
      <w:r>
        <w:rPr>
          <w:rFonts w:hint="eastAsia" w:cs="宋体"/>
          <w:sz w:val="24"/>
          <w:szCs w:val="24"/>
        </w:rPr>
        <w:t>；</w:t>
      </w:r>
    </w:p>
    <w:p w14:paraId="36EC1DC1">
      <w:pPr>
        <w:pStyle w:val="16"/>
        <w:adjustRightInd w:val="0"/>
        <w:snapToGrid w:val="0"/>
        <w:spacing w:line="360" w:lineRule="auto"/>
        <w:ind w:firstLine="562" w:firstLineChars="0"/>
        <w:rPr>
          <w:rFonts w:hint="eastAsia" w:eastAsia="宋体" w:cs="宋体"/>
          <w:sz w:val="24"/>
          <w:szCs w:val="24"/>
        </w:rPr>
      </w:pPr>
      <w:r>
        <w:rPr>
          <w:rFonts w:hint="eastAsia" w:cs="宋体"/>
          <w:bCs/>
          <w:sz w:val="24"/>
          <w:szCs w:val="24"/>
        </w:rPr>
        <w:t>2.3</w:t>
      </w:r>
      <w:r>
        <w:rPr>
          <w:rFonts w:hint="eastAsia" w:cs="宋体"/>
          <w:sz w:val="24"/>
          <w:szCs w:val="24"/>
        </w:rPr>
        <w:t>人类遗传资源申报协调费：</w:t>
      </w:r>
      <w:r>
        <w:rPr>
          <w:rFonts w:hint="eastAsia" w:eastAsia="宋体" w:cs="宋体"/>
          <w:sz w:val="24"/>
          <w:szCs w:val="24"/>
          <w:lang w:eastAsia="zh-CN"/>
        </w:rPr>
        <w:t>□</w:t>
      </w:r>
      <w:r>
        <w:rPr>
          <w:rFonts w:hint="eastAsia" w:eastAsia="宋体" w:cs="宋体"/>
          <w:sz w:val="24"/>
          <w:szCs w:val="24"/>
        </w:rPr>
        <w:t>不适用 □1000元 □5000.00元 □其他</w:t>
      </w:r>
      <w:r>
        <w:rPr>
          <w:rFonts w:hint="eastAsia" w:eastAsia="宋体" w:cs="宋体"/>
          <w:sz w:val="24"/>
          <w:szCs w:val="24"/>
          <w:u w:val="single"/>
        </w:rPr>
        <w:t xml:space="preserve">      </w:t>
      </w:r>
      <w:r>
        <w:rPr>
          <w:rFonts w:hint="eastAsia" w:eastAsia="宋体" w:cs="宋体"/>
          <w:sz w:val="24"/>
          <w:szCs w:val="24"/>
        </w:rPr>
        <w:t>元；</w:t>
      </w:r>
    </w:p>
    <w:p w14:paraId="3E885369">
      <w:pPr>
        <w:pStyle w:val="16"/>
        <w:adjustRightInd w:val="0"/>
        <w:snapToGrid w:val="0"/>
        <w:spacing w:line="360" w:lineRule="auto"/>
        <w:ind w:firstLine="562" w:firstLineChars="0"/>
        <w:rPr>
          <w:rFonts w:cs="宋体"/>
          <w:sz w:val="24"/>
          <w:szCs w:val="24"/>
        </w:rPr>
      </w:pPr>
      <w:r>
        <w:rPr>
          <w:rFonts w:hint="eastAsia" w:cs="宋体"/>
          <w:bCs/>
          <w:sz w:val="24"/>
          <w:szCs w:val="24"/>
        </w:rPr>
        <w:t>2.4</w:t>
      </w:r>
      <w:r>
        <w:rPr>
          <w:rFonts w:hint="eastAsia" w:cs="宋体"/>
          <w:sz w:val="24"/>
          <w:szCs w:val="24"/>
        </w:rPr>
        <w:t>检查费：详见附表</w:t>
      </w:r>
      <w:r>
        <w:rPr>
          <w:rFonts w:hint="eastAsia" w:cs="宋体"/>
          <w:sz w:val="24"/>
          <w:szCs w:val="24"/>
          <w:lang w:val="en-US" w:eastAsia="zh-CN"/>
        </w:rPr>
        <w:t>1</w:t>
      </w:r>
      <w:r>
        <w:rPr>
          <w:rFonts w:hint="eastAsia" w:cs="宋体"/>
          <w:sz w:val="24"/>
          <w:szCs w:val="24"/>
        </w:rPr>
        <w:t>：检查费为**.**元/例，共*例，共**.**元；</w:t>
      </w:r>
    </w:p>
    <w:p w14:paraId="3B989784">
      <w:pPr>
        <w:pStyle w:val="16"/>
        <w:adjustRightInd w:val="0"/>
        <w:snapToGrid w:val="0"/>
        <w:spacing w:line="360" w:lineRule="auto"/>
        <w:ind w:firstLine="562" w:firstLineChars="0"/>
        <w:rPr>
          <w:rFonts w:cs="宋体"/>
          <w:sz w:val="24"/>
          <w:szCs w:val="24"/>
        </w:rPr>
      </w:pPr>
      <w:r>
        <w:rPr>
          <w:rFonts w:hint="eastAsia" w:cs="宋体"/>
          <w:bCs/>
          <w:sz w:val="24"/>
          <w:szCs w:val="24"/>
        </w:rPr>
        <w:t>2.5</w:t>
      </w:r>
      <w:r>
        <w:rPr>
          <w:rFonts w:hint="eastAsia" w:cs="宋体"/>
          <w:sz w:val="24"/>
          <w:szCs w:val="24"/>
        </w:rPr>
        <w:t>受试者补偿费：</w:t>
      </w:r>
    </w:p>
    <w:p w14:paraId="58CBE518">
      <w:pPr>
        <w:pStyle w:val="16"/>
        <w:numPr>
          <w:ilvl w:val="0"/>
          <w:numId w:val="3"/>
        </w:numPr>
        <w:adjustRightInd w:val="0"/>
        <w:snapToGrid w:val="0"/>
        <w:spacing w:line="360" w:lineRule="auto"/>
        <w:ind w:firstLine="218" w:firstLineChars="91"/>
        <w:rPr>
          <w:rFonts w:cs="宋体"/>
          <w:sz w:val="24"/>
          <w:szCs w:val="24"/>
        </w:rPr>
      </w:pPr>
      <w:r>
        <w:rPr>
          <w:rFonts w:hint="eastAsia" w:cs="宋体"/>
          <w:sz w:val="24"/>
          <w:szCs w:val="24"/>
        </w:rPr>
        <w:t>对于入组的受试者，需给予每位受试者交通补助**元/次，共*次；采血营养补助*元/次，共*次；</w:t>
      </w:r>
    </w:p>
    <w:p w14:paraId="2B1FA94A">
      <w:pPr>
        <w:pStyle w:val="16"/>
        <w:numPr>
          <w:ilvl w:val="0"/>
          <w:numId w:val="4"/>
        </w:numPr>
        <w:adjustRightInd w:val="0"/>
        <w:snapToGrid w:val="0"/>
        <w:spacing w:line="360" w:lineRule="auto"/>
        <w:ind w:firstLine="218" w:firstLineChars="91"/>
        <w:rPr>
          <w:rFonts w:cs="宋体"/>
          <w:sz w:val="24"/>
          <w:szCs w:val="24"/>
        </w:rPr>
      </w:pPr>
      <w:r>
        <w:rPr>
          <w:rFonts w:hint="eastAsia" w:cs="宋体"/>
          <w:sz w:val="24"/>
          <w:szCs w:val="24"/>
        </w:rPr>
        <w:t xml:space="preserve">总计受试者补偿费为**.**元/例，共*例，共**.**元； </w:t>
      </w:r>
    </w:p>
    <w:p w14:paraId="064BBFDF">
      <w:pPr>
        <w:pStyle w:val="16"/>
        <w:numPr>
          <w:ilvl w:val="0"/>
          <w:numId w:val="4"/>
        </w:numPr>
        <w:adjustRightInd w:val="0"/>
        <w:snapToGrid w:val="0"/>
        <w:spacing w:line="360" w:lineRule="auto"/>
        <w:ind w:firstLine="218" w:firstLineChars="91"/>
        <w:rPr>
          <w:rFonts w:cs="宋体"/>
          <w:sz w:val="24"/>
          <w:szCs w:val="24"/>
        </w:rPr>
      </w:pPr>
      <w:r>
        <w:rPr>
          <w:rFonts w:hint="eastAsia" w:cs="宋体"/>
          <w:sz w:val="24"/>
          <w:szCs w:val="24"/>
        </w:rPr>
        <w:t>受试者补偿费打入</w:t>
      </w:r>
      <w:r>
        <w:rPr>
          <w:rFonts w:hint="eastAsia" w:cs="宋体"/>
          <w:sz w:val="24"/>
          <w:szCs w:val="24"/>
          <w:lang w:val="en-US" w:eastAsia="zh-Hans"/>
        </w:rPr>
        <w:t>乙方</w:t>
      </w:r>
      <w:r>
        <w:rPr>
          <w:rFonts w:hint="eastAsia" w:cs="宋体"/>
          <w:sz w:val="24"/>
          <w:szCs w:val="24"/>
        </w:rPr>
        <w:t>，由</w:t>
      </w:r>
      <w:r>
        <w:rPr>
          <w:rFonts w:hint="eastAsia" w:cs="宋体"/>
          <w:sz w:val="24"/>
          <w:szCs w:val="24"/>
          <w:lang w:val="en-US" w:eastAsia="zh-Hans"/>
        </w:rPr>
        <w:t>乙方</w:t>
      </w:r>
      <w:r>
        <w:rPr>
          <w:rFonts w:hint="eastAsia" w:cs="宋体"/>
          <w:sz w:val="24"/>
          <w:szCs w:val="24"/>
        </w:rPr>
        <w:t>转给受试者。CRC收集受试者姓名、身份证号、本人</w:t>
      </w:r>
      <w:r>
        <w:rPr>
          <w:rFonts w:hint="eastAsia" w:cs="宋体"/>
          <w:sz w:val="24"/>
          <w:szCs w:val="24"/>
          <w:lang w:val="en-US" w:eastAsia="zh-CN"/>
        </w:rPr>
        <w:t>或监护人</w:t>
      </w:r>
      <w:r>
        <w:rPr>
          <w:rFonts w:hint="eastAsia" w:cs="宋体"/>
          <w:sz w:val="24"/>
          <w:szCs w:val="24"/>
        </w:rPr>
        <w:t>银行储蓄卡账号、开户行名称，交主要研究者、机构办公室秘</w:t>
      </w:r>
      <w:r>
        <w:rPr>
          <w:rFonts w:hint="eastAsia" w:cs="宋体"/>
          <w:sz w:val="24"/>
          <w:szCs w:val="24"/>
          <w:lang w:val="en-US" w:eastAsia="zh-CN"/>
        </w:rPr>
        <w:t>书</w:t>
      </w:r>
      <w:r>
        <w:rPr>
          <w:rFonts w:hint="eastAsia" w:cs="宋体"/>
          <w:sz w:val="24"/>
          <w:szCs w:val="24"/>
        </w:rPr>
        <w:t>审核后提交财务管理部门统一转账。大约2个月集中办理一次转账；</w:t>
      </w:r>
    </w:p>
    <w:p w14:paraId="180D15FC">
      <w:pPr>
        <w:pStyle w:val="16"/>
        <w:adjustRightInd w:val="0"/>
        <w:snapToGrid w:val="0"/>
        <w:spacing w:line="360" w:lineRule="auto"/>
        <w:rPr>
          <w:rFonts w:cs="宋体"/>
          <w:sz w:val="24"/>
          <w:szCs w:val="24"/>
        </w:rPr>
      </w:pPr>
      <w:r>
        <w:rPr>
          <w:rFonts w:hint="eastAsia" w:cs="宋体"/>
          <w:bCs/>
          <w:sz w:val="24"/>
          <w:szCs w:val="24"/>
        </w:rPr>
        <w:t>2.6</w:t>
      </w:r>
      <w:r>
        <w:rPr>
          <w:rStyle w:val="15"/>
          <w:rFonts w:hint="eastAsia" w:cs="宋体"/>
          <w:sz w:val="24"/>
          <w:szCs w:val="24"/>
        </w:rPr>
        <w:t>税费：以上5项所</w:t>
      </w:r>
      <w:r>
        <w:rPr>
          <w:rFonts w:hint="eastAsia" w:cs="宋体"/>
          <w:bCs/>
          <w:sz w:val="24"/>
          <w:szCs w:val="24"/>
        </w:rPr>
        <w:t>加之</w:t>
      </w:r>
      <w:r>
        <w:rPr>
          <w:rStyle w:val="15"/>
          <w:rFonts w:hint="eastAsia" w:cs="宋体"/>
          <w:sz w:val="24"/>
          <w:szCs w:val="24"/>
        </w:rPr>
        <w:t>和的</w:t>
      </w:r>
      <w:r>
        <w:rPr>
          <w:rStyle w:val="15"/>
          <w:rFonts w:hint="eastAsia" w:cs="宋体"/>
          <w:sz w:val="24"/>
          <w:szCs w:val="24"/>
          <w:lang w:val="en-US" w:eastAsia="zh-CN"/>
        </w:rPr>
        <w:t>1</w:t>
      </w:r>
      <w:r>
        <w:rPr>
          <w:rStyle w:val="15"/>
          <w:rFonts w:hint="eastAsia" w:cs="宋体"/>
          <w:sz w:val="24"/>
          <w:szCs w:val="24"/>
        </w:rPr>
        <w:t>%；</w:t>
      </w:r>
    </w:p>
    <w:p w14:paraId="663FDAC3">
      <w:pPr>
        <w:adjustRightInd w:val="0"/>
        <w:snapToGrid w:val="0"/>
        <w:spacing w:line="360" w:lineRule="auto"/>
        <w:ind w:firstLine="482" w:firstLineChars="200"/>
        <w:rPr>
          <w:rFonts w:cs="宋体"/>
          <w:b/>
          <w:sz w:val="24"/>
        </w:rPr>
      </w:pPr>
      <w:r>
        <w:rPr>
          <w:rFonts w:hint="eastAsia" w:cs="宋体"/>
          <w:b/>
          <w:sz w:val="24"/>
        </w:rPr>
        <w:t>（二）筛选失败和脱落病例的费用支付方式</w:t>
      </w:r>
    </w:p>
    <w:p w14:paraId="0864B14E">
      <w:pPr>
        <w:adjustRightInd w:val="0"/>
        <w:snapToGrid w:val="0"/>
        <w:spacing w:line="360" w:lineRule="auto"/>
        <w:ind w:firstLine="480" w:firstLineChars="200"/>
        <w:rPr>
          <w:rFonts w:cs="宋体"/>
          <w:sz w:val="24"/>
        </w:rPr>
      </w:pPr>
      <w:r>
        <w:rPr>
          <w:rFonts w:hint="eastAsia" w:cs="宋体"/>
          <w:sz w:val="24"/>
        </w:rPr>
        <w:t>1.检查费：所有的检查费按实际发生支付。</w:t>
      </w:r>
    </w:p>
    <w:p w14:paraId="0C83BD36">
      <w:pPr>
        <w:adjustRightInd w:val="0"/>
        <w:snapToGrid w:val="0"/>
        <w:spacing w:line="360" w:lineRule="auto"/>
        <w:ind w:firstLine="480" w:firstLineChars="200"/>
        <w:rPr>
          <w:rFonts w:cs="宋体"/>
          <w:sz w:val="24"/>
        </w:rPr>
      </w:pPr>
      <w:r>
        <w:rPr>
          <w:rFonts w:hint="eastAsia" w:cs="宋体"/>
          <w:sz w:val="24"/>
        </w:rPr>
        <w:t>2.观察费：</w:t>
      </w:r>
    </w:p>
    <w:p w14:paraId="14024BD2">
      <w:pPr>
        <w:numPr>
          <w:ilvl w:val="0"/>
          <w:numId w:val="5"/>
        </w:numPr>
        <w:adjustRightInd w:val="0"/>
        <w:snapToGrid w:val="0"/>
        <w:spacing w:line="360" w:lineRule="auto"/>
        <w:ind w:left="0" w:firstLine="480" w:firstLineChars="200"/>
        <w:rPr>
          <w:rFonts w:cs="宋体"/>
          <w:sz w:val="24"/>
        </w:rPr>
      </w:pPr>
      <w:r>
        <w:rPr>
          <w:rFonts w:hint="eastAsia" w:cs="宋体"/>
          <w:sz w:val="24"/>
        </w:rPr>
        <w:t>筛选失败病例根据试验具体情况支付观察费</w:t>
      </w:r>
      <w:r>
        <w:rPr>
          <w:rStyle w:val="15"/>
          <w:rFonts w:hint="eastAsia" w:cs="宋体"/>
          <w:sz w:val="24"/>
          <w:szCs w:val="24"/>
        </w:rPr>
        <w:t>（</w:t>
      </w:r>
      <w:r>
        <w:rPr>
          <w:rFonts w:hint="eastAsia" w:cs="宋体"/>
          <w:sz w:val="24"/>
        </w:rPr>
        <w:t>研究者劳务费</w:t>
      </w:r>
      <w:r>
        <w:rPr>
          <w:rStyle w:val="15"/>
          <w:rFonts w:hint="eastAsia" w:cs="宋体"/>
          <w:sz w:val="24"/>
          <w:szCs w:val="24"/>
        </w:rPr>
        <w:t>）</w:t>
      </w:r>
      <w:r>
        <w:rPr>
          <w:rFonts w:hint="eastAsia" w:cs="宋体"/>
          <w:sz w:val="24"/>
        </w:rPr>
        <w:t>；</w:t>
      </w:r>
    </w:p>
    <w:p w14:paraId="1A3B9442">
      <w:pPr>
        <w:numPr>
          <w:ilvl w:val="0"/>
          <w:numId w:val="5"/>
        </w:numPr>
        <w:adjustRightInd w:val="0"/>
        <w:snapToGrid w:val="0"/>
        <w:spacing w:line="360" w:lineRule="auto"/>
        <w:ind w:left="0" w:firstLine="480" w:firstLineChars="200"/>
        <w:rPr>
          <w:rFonts w:cs="宋体"/>
          <w:sz w:val="24"/>
        </w:rPr>
      </w:pPr>
      <w:r>
        <w:rPr>
          <w:rFonts w:hint="eastAsia" w:cs="宋体"/>
          <w:sz w:val="24"/>
        </w:rPr>
        <w:t>脱落病例按实际访视次数支付观察费，每次访视观察费**元， 共访视**次，共**元；</w:t>
      </w:r>
    </w:p>
    <w:p w14:paraId="43C866B5">
      <w:pPr>
        <w:numPr>
          <w:ilvl w:val="0"/>
          <w:numId w:val="5"/>
        </w:numPr>
        <w:adjustRightInd w:val="0"/>
        <w:snapToGrid w:val="0"/>
        <w:spacing w:line="360" w:lineRule="auto"/>
        <w:ind w:left="0" w:firstLine="480" w:firstLineChars="200"/>
        <w:rPr>
          <w:rFonts w:cs="宋体"/>
          <w:sz w:val="24"/>
        </w:rPr>
      </w:pPr>
      <w:r>
        <w:rPr>
          <w:rFonts w:hint="eastAsia" w:cs="宋体"/>
          <w:bCs/>
          <w:sz w:val="24"/>
        </w:rPr>
        <w:t>筛选失败和脱落病例需按实际发生支付机构管理费：</w:t>
      </w:r>
      <w:r>
        <w:rPr>
          <w:rFonts w:hint="eastAsia" w:cs="宋体"/>
          <w:sz w:val="24"/>
        </w:rPr>
        <w:t>观察费</w:t>
      </w:r>
      <w:r>
        <w:rPr>
          <w:rStyle w:val="15"/>
          <w:rFonts w:hint="eastAsia" w:cs="宋体"/>
          <w:sz w:val="24"/>
          <w:szCs w:val="24"/>
        </w:rPr>
        <w:t>（</w:t>
      </w:r>
      <w:r>
        <w:rPr>
          <w:rFonts w:hint="eastAsia" w:cs="宋体"/>
          <w:sz w:val="24"/>
        </w:rPr>
        <w:t>研究者劳务费</w:t>
      </w:r>
      <w:r>
        <w:rPr>
          <w:rStyle w:val="15"/>
          <w:rFonts w:hint="eastAsia" w:cs="宋体"/>
          <w:sz w:val="24"/>
          <w:szCs w:val="24"/>
        </w:rPr>
        <w:t>）的30%；</w:t>
      </w:r>
    </w:p>
    <w:p w14:paraId="49E9E31F">
      <w:pPr>
        <w:numPr>
          <w:ilvl w:val="0"/>
          <w:numId w:val="5"/>
        </w:numPr>
        <w:spacing w:line="360" w:lineRule="auto"/>
        <w:ind w:left="0" w:firstLine="480" w:firstLineChars="200"/>
        <w:rPr>
          <w:rFonts w:cs="宋体"/>
          <w:sz w:val="24"/>
        </w:rPr>
      </w:pPr>
      <w:r>
        <w:rPr>
          <w:rFonts w:hint="eastAsia" w:cs="宋体"/>
          <w:sz w:val="24"/>
        </w:rPr>
        <w:t>各访视点具体费用参见下表：</w:t>
      </w:r>
    </w:p>
    <w:tbl>
      <w:tblPr>
        <w:tblStyle w:val="11"/>
        <w:tblW w:w="9545"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795"/>
        <w:gridCol w:w="706"/>
        <w:gridCol w:w="795"/>
        <w:gridCol w:w="795"/>
        <w:gridCol w:w="795"/>
        <w:gridCol w:w="706"/>
        <w:gridCol w:w="706"/>
        <w:gridCol w:w="795"/>
        <w:gridCol w:w="706"/>
        <w:gridCol w:w="950"/>
        <w:gridCol w:w="950"/>
      </w:tblGrid>
      <w:tr w14:paraId="09AF22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846" w:type="dxa"/>
            <w:vAlign w:val="center"/>
          </w:tcPr>
          <w:p w14:paraId="127B0B44">
            <w:pPr>
              <w:pStyle w:val="16"/>
              <w:adjustRightInd w:val="0"/>
              <w:snapToGrid w:val="0"/>
              <w:spacing w:line="360" w:lineRule="auto"/>
              <w:ind w:firstLine="0" w:firstLineChars="0"/>
              <w:jc w:val="center"/>
              <w:rPr>
                <w:szCs w:val="21"/>
              </w:rPr>
            </w:pPr>
            <w:r>
              <w:rPr>
                <w:rFonts w:hint="eastAsia"/>
                <w:szCs w:val="21"/>
              </w:rPr>
              <w:t>访视</w:t>
            </w:r>
          </w:p>
        </w:tc>
        <w:tc>
          <w:tcPr>
            <w:tcW w:w="795" w:type="dxa"/>
            <w:vAlign w:val="center"/>
          </w:tcPr>
          <w:p w14:paraId="759F44C4">
            <w:pPr>
              <w:pStyle w:val="16"/>
              <w:adjustRightInd w:val="0"/>
              <w:snapToGrid w:val="0"/>
              <w:spacing w:line="360" w:lineRule="auto"/>
              <w:ind w:firstLine="0" w:firstLineChars="0"/>
              <w:jc w:val="center"/>
              <w:rPr>
                <w:szCs w:val="21"/>
              </w:rPr>
            </w:pPr>
            <w:r>
              <w:rPr>
                <w:rFonts w:hint="eastAsia"/>
                <w:szCs w:val="21"/>
              </w:rPr>
              <w:t>V1</w:t>
            </w:r>
          </w:p>
        </w:tc>
        <w:tc>
          <w:tcPr>
            <w:tcW w:w="706" w:type="dxa"/>
            <w:vAlign w:val="center"/>
          </w:tcPr>
          <w:p w14:paraId="1E1B3FE4">
            <w:pPr>
              <w:pStyle w:val="16"/>
              <w:adjustRightInd w:val="0"/>
              <w:snapToGrid w:val="0"/>
              <w:spacing w:line="360" w:lineRule="auto"/>
              <w:ind w:firstLine="0" w:firstLineChars="0"/>
              <w:jc w:val="center"/>
              <w:rPr>
                <w:szCs w:val="21"/>
              </w:rPr>
            </w:pPr>
            <w:r>
              <w:rPr>
                <w:rFonts w:hint="eastAsia"/>
                <w:szCs w:val="21"/>
              </w:rPr>
              <w:t>V2</w:t>
            </w:r>
          </w:p>
        </w:tc>
        <w:tc>
          <w:tcPr>
            <w:tcW w:w="795" w:type="dxa"/>
            <w:vAlign w:val="center"/>
          </w:tcPr>
          <w:p w14:paraId="3CFE830F">
            <w:pPr>
              <w:pStyle w:val="16"/>
              <w:adjustRightInd w:val="0"/>
              <w:snapToGrid w:val="0"/>
              <w:spacing w:line="360" w:lineRule="auto"/>
              <w:ind w:firstLine="0" w:firstLineChars="0"/>
              <w:jc w:val="center"/>
              <w:rPr>
                <w:szCs w:val="21"/>
              </w:rPr>
            </w:pPr>
            <w:r>
              <w:rPr>
                <w:rFonts w:hint="eastAsia"/>
                <w:szCs w:val="21"/>
              </w:rPr>
              <w:t>V3</w:t>
            </w:r>
          </w:p>
        </w:tc>
        <w:tc>
          <w:tcPr>
            <w:tcW w:w="795" w:type="dxa"/>
            <w:vAlign w:val="center"/>
          </w:tcPr>
          <w:p w14:paraId="67051106">
            <w:pPr>
              <w:pStyle w:val="16"/>
              <w:adjustRightInd w:val="0"/>
              <w:snapToGrid w:val="0"/>
              <w:spacing w:line="360" w:lineRule="auto"/>
              <w:ind w:firstLine="0" w:firstLineChars="0"/>
              <w:jc w:val="center"/>
              <w:rPr>
                <w:szCs w:val="21"/>
              </w:rPr>
            </w:pPr>
            <w:r>
              <w:rPr>
                <w:rFonts w:hint="eastAsia"/>
                <w:szCs w:val="21"/>
              </w:rPr>
              <w:t>V4</w:t>
            </w:r>
          </w:p>
        </w:tc>
        <w:tc>
          <w:tcPr>
            <w:tcW w:w="795" w:type="dxa"/>
            <w:vAlign w:val="center"/>
          </w:tcPr>
          <w:p w14:paraId="308CDF9B">
            <w:pPr>
              <w:pStyle w:val="16"/>
              <w:adjustRightInd w:val="0"/>
              <w:snapToGrid w:val="0"/>
              <w:spacing w:line="360" w:lineRule="auto"/>
              <w:ind w:firstLine="0" w:firstLineChars="0"/>
              <w:jc w:val="center"/>
              <w:rPr>
                <w:szCs w:val="21"/>
              </w:rPr>
            </w:pPr>
            <w:r>
              <w:rPr>
                <w:rFonts w:hint="eastAsia"/>
                <w:szCs w:val="21"/>
              </w:rPr>
              <w:t>V5</w:t>
            </w:r>
          </w:p>
        </w:tc>
        <w:tc>
          <w:tcPr>
            <w:tcW w:w="706" w:type="dxa"/>
            <w:vAlign w:val="center"/>
          </w:tcPr>
          <w:p w14:paraId="19E6E84A">
            <w:pPr>
              <w:pStyle w:val="16"/>
              <w:adjustRightInd w:val="0"/>
              <w:snapToGrid w:val="0"/>
              <w:spacing w:line="360" w:lineRule="auto"/>
              <w:ind w:firstLine="0" w:firstLineChars="0"/>
              <w:jc w:val="center"/>
              <w:rPr>
                <w:szCs w:val="21"/>
              </w:rPr>
            </w:pPr>
            <w:r>
              <w:rPr>
                <w:rFonts w:hint="eastAsia"/>
                <w:szCs w:val="21"/>
              </w:rPr>
              <w:t>V6</w:t>
            </w:r>
          </w:p>
        </w:tc>
        <w:tc>
          <w:tcPr>
            <w:tcW w:w="706" w:type="dxa"/>
            <w:vAlign w:val="center"/>
          </w:tcPr>
          <w:p w14:paraId="0C8A660E">
            <w:pPr>
              <w:pStyle w:val="16"/>
              <w:adjustRightInd w:val="0"/>
              <w:snapToGrid w:val="0"/>
              <w:spacing w:line="360" w:lineRule="auto"/>
              <w:ind w:firstLine="0" w:firstLineChars="0"/>
              <w:jc w:val="center"/>
              <w:rPr>
                <w:szCs w:val="21"/>
              </w:rPr>
            </w:pPr>
            <w:r>
              <w:rPr>
                <w:rFonts w:hint="eastAsia"/>
                <w:szCs w:val="21"/>
              </w:rPr>
              <w:t>V7</w:t>
            </w:r>
          </w:p>
        </w:tc>
        <w:tc>
          <w:tcPr>
            <w:tcW w:w="795" w:type="dxa"/>
            <w:vAlign w:val="center"/>
          </w:tcPr>
          <w:p w14:paraId="55D7BB9A">
            <w:pPr>
              <w:pStyle w:val="16"/>
              <w:adjustRightInd w:val="0"/>
              <w:snapToGrid w:val="0"/>
              <w:spacing w:line="360" w:lineRule="auto"/>
              <w:ind w:firstLine="0" w:firstLineChars="0"/>
              <w:jc w:val="center"/>
              <w:rPr>
                <w:szCs w:val="21"/>
              </w:rPr>
            </w:pPr>
            <w:r>
              <w:rPr>
                <w:rFonts w:hint="eastAsia"/>
                <w:szCs w:val="21"/>
              </w:rPr>
              <w:t>V8</w:t>
            </w:r>
          </w:p>
        </w:tc>
        <w:tc>
          <w:tcPr>
            <w:tcW w:w="706" w:type="dxa"/>
            <w:vAlign w:val="center"/>
          </w:tcPr>
          <w:p w14:paraId="5CC871DA">
            <w:pPr>
              <w:pStyle w:val="16"/>
              <w:adjustRightInd w:val="0"/>
              <w:snapToGrid w:val="0"/>
              <w:spacing w:line="360" w:lineRule="auto"/>
              <w:ind w:firstLine="0" w:firstLineChars="0"/>
              <w:jc w:val="center"/>
              <w:rPr>
                <w:szCs w:val="21"/>
              </w:rPr>
            </w:pPr>
            <w:r>
              <w:rPr>
                <w:rFonts w:hint="eastAsia"/>
                <w:szCs w:val="21"/>
              </w:rPr>
              <w:t>V9</w:t>
            </w:r>
          </w:p>
        </w:tc>
        <w:tc>
          <w:tcPr>
            <w:tcW w:w="950" w:type="dxa"/>
            <w:vAlign w:val="center"/>
          </w:tcPr>
          <w:p w14:paraId="783AFC21">
            <w:pPr>
              <w:pStyle w:val="16"/>
              <w:adjustRightInd w:val="0"/>
              <w:snapToGrid w:val="0"/>
              <w:spacing w:line="360" w:lineRule="auto"/>
              <w:ind w:firstLine="0" w:firstLineChars="0"/>
              <w:jc w:val="center"/>
              <w:rPr>
                <w:szCs w:val="21"/>
              </w:rPr>
            </w:pPr>
            <w:r>
              <w:rPr>
                <w:rFonts w:hint="eastAsia"/>
                <w:szCs w:val="21"/>
              </w:rPr>
              <w:t>合计</w:t>
            </w:r>
          </w:p>
        </w:tc>
        <w:tc>
          <w:tcPr>
            <w:tcW w:w="950" w:type="dxa"/>
            <w:vAlign w:val="center"/>
          </w:tcPr>
          <w:p w14:paraId="72D40F4B">
            <w:pPr>
              <w:pStyle w:val="16"/>
              <w:adjustRightInd w:val="0"/>
              <w:snapToGrid w:val="0"/>
              <w:spacing w:line="360" w:lineRule="auto"/>
              <w:ind w:firstLine="0" w:firstLineChars="0"/>
              <w:jc w:val="center"/>
              <w:rPr>
                <w:szCs w:val="21"/>
              </w:rPr>
            </w:pPr>
            <w:r>
              <w:rPr>
                <w:rFonts w:hint="eastAsia"/>
                <w:szCs w:val="21"/>
              </w:rPr>
              <w:t>备注</w:t>
            </w:r>
          </w:p>
        </w:tc>
      </w:tr>
      <w:tr w14:paraId="688F0A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846" w:type="dxa"/>
            <w:vAlign w:val="center"/>
          </w:tcPr>
          <w:p w14:paraId="5954C472">
            <w:pPr>
              <w:pStyle w:val="16"/>
              <w:adjustRightInd w:val="0"/>
              <w:snapToGrid w:val="0"/>
              <w:spacing w:line="360" w:lineRule="auto"/>
              <w:ind w:firstLine="0" w:firstLineChars="0"/>
              <w:jc w:val="center"/>
              <w:rPr>
                <w:szCs w:val="21"/>
              </w:rPr>
            </w:pPr>
            <w:r>
              <w:rPr>
                <w:rFonts w:hint="eastAsia"/>
                <w:szCs w:val="21"/>
              </w:rPr>
              <w:t>费用（元）</w:t>
            </w:r>
          </w:p>
        </w:tc>
        <w:tc>
          <w:tcPr>
            <w:tcW w:w="795" w:type="dxa"/>
          </w:tcPr>
          <w:p w14:paraId="0F9A5703">
            <w:pPr>
              <w:pStyle w:val="16"/>
              <w:adjustRightInd w:val="0"/>
              <w:snapToGrid w:val="0"/>
              <w:spacing w:line="360" w:lineRule="auto"/>
              <w:ind w:firstLine="0" w:firstLineChars="0"/>
              <w:rPr>
                <w:szCs w:val="21"/>
              </w:rPr>
            </w:pPr>
          </w:p>
        </w:tc>
        <w:tc>
          <w:tcPr>
            <w:tcW w:w="706" w:type="dxa"/>
          </w:tcPr>
          <w:p w14:paraId="382DD57A">
            <w:pPr>
              <w:pStyle w:val="16"/>
              <w:adjustRightInd w:val="0"/>
              <w:snapToGrid w:val="0"/>
              <w:spacing w:line="360" w:lineRule="auto"/>
              <w:ind w:firstLine="0" w:firstLineChars="0"/>
              <w:rPr>
                <w:szCs w:val="21"/>
              </w:rPr>
            </w:pPr>
          </w:p>
        </w:tc>
        <w:tc>
          <w:tcPr>
            <w:tcW w:w="795" w:type="dxa"/>
          </w:tcPr>
          <w:p w14:paraId="4A413E92">
            <w:pPr>
              <w:pStyle w:val="16"/>
              <w:adjustRightInd w:val="0"/>
              <w:snapToGrid w:val="0"/>
              <w:spacing w:line="360" w:lineRule="auto"/>
              <w:ind w:firstLine="0" w:firstLineChars="0"/>
              <w:rPr>
                <w:szCs w:val="21"/>
              </w:rPr>
            </w:pPr>
          </w:p>
        </w:tc>
        <w:tc>
          <w:tcPr>
            <w:tcW w:w="795" w:type="dxa"/>
          </w:tcPr>
          <w:p w14:paraId="13EC205D">
            <w:pPr>
              <w:pStyle w:val="16"/>
              <w:adjustRightInd w:val="0"/>
              <w:snapToGrid w:val="0"/>
              <w:spacing w:line="360" w:lineRule="auto"/>
              <w:ind w:firstLine="0" w:firstLineChars="0"/>
              <w:rPr>
                <w:szCs w:val="21"/>
              </w:rPr>
            </w:pPr>
          </w:p>
        </w:tc>
        <w:tc>
          <w:tcPr>
            <w:tcW w:w="795" w:type="dxa"/>
          </w:tcPr>
          <w:p w14:paraId="761E41D7">
            <w:pPr>
              <w:pStyle w:val="16"/>
              <w:adjustRightInd w:val="0"/>
              <w:snapToGrid w:val="0"/>
              <w:spacing w:line="360" w:lineRule="auto"/>
              <w:ind w:firstLine="0" w:firstLineChars="0"/>
              <w:rPr>
                <w:szCs w:val="21"/>
              </w:rPr>
            </w:pPr>
          </w:p>
        </w:tc>
        <w:tc>
          <w:tcPr>
            <w:tcW w:w="706" w:type="dxa"/>
          </w:tcPr>
          <w:p w14:paraId="6AAB1A2E">
            <w:pPr>
              <w:pStyle w:val="16"/>
              <w:adjustRightInd w:val="0"/>
              <w:snapToGrid w:val="0"/>
              <w:spacing w:line="360" w:lineRule="auto"/>
              <w:ind w:firstLine="0" w:firstLineChars="0"/>
              <w:rPr>
                <w:szCs w:val="21"/>
              </w:rPr>
            </w:pPr>
          </w:p>
        </w:tc>
        <w:tc>
          <w:tcPr>
            <w:tcW w:w="706" w:type="dxa"/>
          </w:tcPr>
          <w:p w14:paraId="032DD6C2">
            <w:pPr>
              <w:pStyle w:val="16"/>
              <w:adjustRightInd w:val="0"/>
              <w:snapToGrid w:val="0"/>
              <w:spacing w:line="360" w:lineRule="auto"/>
              <w:ind w:firstLine="0" w:firstLineChars="0"/>
              <w:rPr>
                <w:szCs w:val="21"/>
              </w:rPr>
            </w:pPr>
          </w:p>
        </w:tc>
        <w:tc>
          <w:tcPr>
            <w:tcW w:w="795" w:type="dxa"/>
          </w:tcPr>
          <w:p w14:paraId="264D3DE1">
            <w:pPr>
              <w:pStyle w:val="16"/>
              <w:adjustRightInd w:val="0"/>
              <w:snapToGrid w:val="0"/>
              <w:spacing w:line="360" w:lineRule="auto"/>
              <w:ind w:firstLine="0" w:firstLineChars="0"/>
              <w:rPr>
                <w:szCs w:val="21"/>
              </w:rPr>
            </w:pPr>
          </w:p>
        </w:tc>
        <w:tc>
          <w:tcPr>
            <w:tcW w:w="706" w:type="dxa"/>
          </w:tcPr>
          <w:p w14:paraId="689949DE">
            <w:pPr>
              <w:pStyle w:val="16"/>
              <w:adjustRightInd w:val="0"/>
              <w:snapToGrid w:val="0"/>
              <w:spacing w:line="360" w:lineRule="auto"/>
              <w:ind w:firstLine="0" w:firstLineChars="0"/>
              <w:rPr>
                <w:szCs w:val="21"/>
              </w:rPr>
            </w:pPr>
          </w:p>
        </w:tc>
        <w:tc>
          <w:tcPr>
            <w:tcW w:w="950" w:type="dxa"/>
          </w:tcPr>
          <w:p w14:paraId="20D9DF3B">
            <w:pPr>
              <w:pStyle w:val="16"/>
              <w:adjustRightInd w:val="0"/>
              <w:snapToGrid w:val="0"/>
              <w:spacing w:line="360" w:lineRule="auto"/>
              <w:ind w:firstLine="0" w:firstLineChars="0"/>
              <w:rPr>
                <w:szCs w:val="21"/>
              </w:rPr>
            </w:pPr>
          </w:p>
        </w:tc>
        <w:tc>
          <w:tcPr>
            <w:tcW w:w="950" w:type="dxa"/>
          </w:tcPr>
          <w:p w14:paraId="3347C5FA">
            <w:pPr>
              <w:pStyle w:val="16"/>
              <w:adjustRightInd w:val="0"/>
              <w:snapToGrid w:val="0"/>
              <w:spacing w:line="360" w:lineRule="auto"/>
              <w:ind w:firstLine="0" w:firstLineChars="0"/>
              <w:rPr>
                <w:szCs w:val="21"/>
              </w:rPr>
            </w:pPr>
          </w:p>
        </w:tc>
      </w:tr>
    </w:tbl>
    <w:p w14:paraId="652185FD">
      <w:pPr>
        <w:adjustRightInd w:val="0"/>
        <w:snapToGrid w:val="0"/>
        <w:spacing w:line="360" w:lineRule="auto"/>
        <w:ind w:firstLine="420" w:firstLineChars="200"/>
        <w:rPr>
          <w:szCs w:val="21"/>
        </w:rPr>
      </w:pPr>
      <w:r>
        <w:rPr>
          <w:rFonts w:hint="eastAsia"/>
          <w:szCs w:val="21"/>
        </w:rPr>
        <w:t>注：试验结束后按照实际完成的病例数及访视点计算总费用。</w:t>
      </w:r>
    </w:p>
    <w:p w14:paraId="3F471BCA">
      <w:pPr>
        <w:pStyle w:val="16"/>
        <w:adjustRightInd w:val="0"/>
        <w:snapToGrid w:val="0"/>
        <w:spacing w:line="360" w:lineRule="auto"/>
        <w:ind w:firstLine="562" w:firstLineChars="0"/>
        <w:rPr>
          <w:rFonts w:cs="宋体"/>
          <w:bCs/>
          <w:sz w:val="24"/>
          <w:szCs w:val="24"/>
        </w:rPr>
      </w:pPr>
      <w:r>
        <w:rPr>
          <w:rFonts w:hint="eastAsia" w:cs="宋体"/>
          <w:bCs/>
          <w:sz w:val="24"/>
          <w:szCs w:val="24"/>
        </w:rPr>
        <w:t>3.以上费用需加</w:t>
      </w:r>
      <w:r>
        <w:rPr>
          <w:rFonts w:hint="eastAsia" w:cs="宋体"/>
          <w:bCs/>
          <w:sz w:val="24"/>
          <w:szCs w:val="24"/>
          <w:lang w:val="en-US" w:eastAsia="zh-CN"/>
        </w:rPr>
        <w:t>1</w:t>
      </w:r>
      <w:r>
        <w:rPr>
          <w:rFonts w:hint="eastAsia" w:cs="宋体"/>
          <w:bCs/>
          <w:sz w:val="24"/>
          <w:szCs w:val="24"/>
        </w:rPr>
        <w:t>%税费。</w:t>
      </w:r>
    </w:p>
    <w:p w14:paraId="3EFFFACF">
      <w:pPr>
        <w:pStyle w:val="16"/>
        <w:adjustRightInd w:val="0"/>
        <w:snapToGrid w:val="0"/>
        <w:spacing w:line="360" w:lineRule="auto"/>
        <w:ind w:firstLine="562" w:firstLineChars="0"/>
        <w:rPr>
          <w:rFonts w:cs="宋体"/>
          <w:b/>
          <w:sz w:val="24"/>
          <w:szCs w:val="24"/>
        </w:rPr>
      </w:pPr>
      <w:r>
        <w:rPr>
          <w:rFonts w:hint="eastAsia" w:cs="宋体"/>
          <w:b/>
          <w:sz w:val="24"/>
          <w:szCs w:val="24"/>
        </w:rPr>
        <w:t>（三）付款计划</w:t>
      </w:r>
    </w:p>
    <w:p w14:paraId="5C71A960">
      <w:pPr>
        <w:pStyle w:val="16"/>
        <w:adjustRightInd w:val="0"/>
        <w:snapToGrid w:val="0"/>
        <w:spacing w:line="360" w:lineRule="auto"/>
        <w:ind w:firstLine="562" w:firstLineChars="0"/>
        <w:rPr>
          <w:rFonts w:cs="宋体"/>
          <w:bCs/>
          <w:sz w:val="24"/>
          <w:szCs w:val="24"/>
        </w:rPr>
      </w:pPr>
      <w:r>
        <w:rPr>
          <w:rFonts w:hint="eastAsia" w:cs="宋体"/>
          <w:bCs/>
          <w:sz w:val="24"/>
          <w:szCs w:val="24"/>
        </w:rPr>
        <w:t>1、伦理审查费用：伦理费用按伦理相关流程单独支付至乙方账户；</w:t>
      </w:r>
    </w:p>
    <w:p w14:paraId="31000BF3">
      <w:pPr>
        <w:pStyle w:val="4"/>
        <w:adjustRightInd w:val="0"/>
        <w:snapToGrid w:val="0"/>
        <w:spacing w:line="360" w:lineRule="auto"/>
        <w:ind w:firstLine="482" w:firstLineChars="200"/>
        <w:rPr>
          <w:rFonts w:cs="宋体"/>
          <w:b/>
          <w:bCs/>
          <w:sz w:val="24"/>
        </w:rPr>
      </w:pPr>
      <w:r>
        <w:rPr>
          <w:rFonts w:hint="eastAsia" w:cs="宋体"/>
          <w:b/>
          <w:bCs/>
          <w:sz w:val="24"/>
        </w:rPr>
        <w:t>2、试验费用分期支付，具体如下：</w:t>
      </w:r>
    </w:p>
    <w:p w14:paraId="3E1AA28A">
      <w:pPr>
        <w:pStyle w:val="4"/>
        <w:adjustRightInd w:val="0"/>
        <w:snapToGrid w:val="0"/>
        <w:spacing w:line="360" w:lineRule="auto"/>
        <w:ind w:firstLine="480" w:firstLineChars="200"/>
        <w:rPr>
          <w:rFonts w:cs="宋体"/>
          <w:sz w:val="24"/>
        </w:rPr>
      </w:pPr>
      <w:r>
        <w:rPr>
          <w:rFonts w:hint="eastAsia" w:cs="宋体"/>
          <w:sz w:val="24"/>
        </w:rPr>
        <w:t>2.1甲方在协议生效起10个工作日内支付首款费用：共计人民币**.**元</w:t>
      </w:r>
    </w:p>
    <w:p w14:paraId="49F450B1">
      <w:pPr>
        <w:adjustRightInd w:val="0"/>
        <w:snapToGrid w:val="0"/>
        <w:spacing w:line="360" w:lineRule="auto"/>
        <w:ind w:firstLine="480" w:firstLineChars="200"/>
        <w:rPr>
          <w:rFonts w:cs="宋体"/>
          <w:sz w:val="24"/>
        </w:rPr>
      </w:pPr>
      <w:r>
        <w:rPr>
          <w:rFonts w:hint="eastAsia" w:cs="宋体"/>
          <w:sz w:val="24"/>
        </w:rPr>
        <w:t>包含30%的临床观察费、30%的机构研究费、50%的受试者补偿费、50%的检查费、人类遗传资源申报协调费及相应税费。</w:t>
      </w:r>
    </w:p>
    <w:p w14:paraId="42F6EDD0">
      <w:pPr>
        <w:adjustRightInd w:val="0"/>
        <w:snapToGrid w:val="0"/>
        <w:spacing w:line="360" w:lineRule="auto"/>
        <w:ind w:firstLine="480" w:firstLineChars="200"/>
        <w:rPr>
          <w:rFonts w:cs="宋体"/>
          <w:sz w:val="24"/>
        </w:rPr>
      </w:pPr>
      <w:r>
        <w:rPr>
          <w:rFonts w:hint="eastAsia" w:cs="宋体"/>
          <w:sz w:val="24"/>
        </w:rPr>
        <w:t>2.2甲方在完成1/2入组时支付费用：共计人民币**.**元</w:t>
      </w:r>
    </w:p>
    <w:p w14:paraId="4A913350">
      <w:pPr>
        <w:adjustRightInd w:val="0"/>
        <w:snapToGrid w:val="0"/>
        <w:spacing w:line="360" w:lineRule="auto"/>
        <w:ind w:firstLine="480" w:firstLineChars="200"/>
        <w:rPr>
          <w:rFonts w:cs="宋体"/>
          <w:sz w:val="24"/>
        </w:rPr>
      </w:pPr>
      <w:r>
        <w:rPr>
          <w:rFonts w:hint="eastAsia" w:cs="宋体"/>
          <w:sz w:val="24"/>
        </w:rPr>
        <w:t>包含30%的临床观察费、30%的机构研究费、50%的受试者补偿费、50%的检查费及相应税费：</w:t>
      </w:r>
    </w:p>
    <w:p w14:paraId="414B5901">
      <w:pPr>
        <w:pStyle w:val="4"/>
        <w:adjustRightInd w:val="0"/>
        <w:snapToGrid w:val="0"/>
        <w:spacing w:line="360" w:lineRule="auto"/>
        <w:ind w:firstLine="480" w:firstLineChars="200"/>
        <w:rPr>
          <w:rFonts w:cs="宋体"/>
          <w:sz w:val="24"/>
        </w:rPr>
      </w:pPr>
      <w:r>
        <w:rPr>
          <w:rFonts w:hint="eastAsia" w:cs="宋体"/>
          <w:sz w:val="24"/>
        </w:rPr>
        <w:t>2.3剩余款项及临床试验中实际发生的额外费用在试验结束后，</w:t>
      </w:r>
      <w:r>
        <w:rPr>
          <w:rFonts w:hint="eastAsia" w:cs="宋体"/>
          <w:sz w:val="24"/>
          <w:lang w:val="en-US" w:eastAsia="zh-CN"/>
        </w:rPr>
        <w:t>乙方机构</w:t>
      </w:r>
      <w:r>
        <w:rPr>
          <w:rFonts w:hint="eastAsia" w:cs="宋体"/>
          <w:sz w:val="24"/>
        </w:rPr>
        <w:t>分中心报告盖章前全部付清（含资料保存费用）。</w:t>
      </w:r>
    </w:p>
    <w:p w14:paraId="2AA5056F">
      <w:pPr>
        <w:adjustRightInd w:val="0"/>
        <w:snapToGrid w:val="0"/>
        <w:spacing w:line="360" w:lineRule="auto"/>
        <w:ind w:firstLine="482" w:firstLineChars="200"/>
        <w:rPr>
          <w:rFonts w:cs="宋体"/>
          <w:b/>
          <w:sz w:val="24"/>
        </w:rPr>
      </w:pPr>
      <w:r>
        <w:rPr>
          <w:rFonts w:hint="eastAsia" w:cs="宋体"/>
          <w:b/>
          <w:sz w:val="24"/>
        </w:rPr>
        <w:t>（四）尾款结算方式</w:t>
      </w:r>
    </w:p>
    <w:p w14:paraId="76779904">
      <w:pPr>
        <w:adjustRightInd w:val="0"/>
        <w:snapToGrid w:val="0"/>
        <w:spacing w:line="360" w:lineRule="auto"/>
        <w:ind w:firstLine="480" w:firstLineChars="200"/>
        <w:rPr>
          <w:rFonts w:cs="宋体"/>
          <w:sz w:val="24"/>
        </w:rPr>
      </w:pPr>
      <w:r>
        <w:rPr>
          <w:rFonts w:hint="eastAsia" w:cs="宋体"/>
          <w:sz w:val="24"/>
        </w:rPr>
        <w:t>试验全部结束，不再发生任何相关费用时，试验费用</w:t>
      </w:r>
      <w:r>
        <w:rPr>
          <w:rFonts w:hint="eastAsia" w:cs="宋体"/>
          <w:sz w:val="24"/>
          <w:lang w:val="en-US" w:eastAsia="zh-Hans"/>
        </w:rPr>
        <w:t>经双方结算</w:t>
      </w:r>
      <w:r>
        <w:rPr>
          <w:rFonts w:hint="eastAsia" w:cs="宋体"/>
          <w:sz w:val="24"/>
        </w:rPr>
        <w:t>如有余款，甲方应在试验结束后6个月内向乙方提出无息退款申请，并按乙方财务要求办理退款。如按期未办</w:t>
      </w:r>
      <w:r>
        <w:rPr>
          <w:rFonts w:hint="eastAsia" w:cs="宋体"/>
          <w:sz w:val="24"/>
          <w:lang w:val="en-US" w:eastAsia="zh-CN"/>
        </w:rPr>
        <w:t>理</w:t>
      </w:r>
      <w:r>
        <w:rPr>
          <w:rFonts w:hint="eastAsia" w:cs="宋体"/>
          <w:sz w:val="24"/>
        </w:rPr>
        <w:t>退款相关事宜，乙方将自行处理该项目余款。</w:t>
      </w:r>
    </w:p>
    <w:p w14:paraId="5EB8EFE5">
      <w:pPr>
        <w:adjustRightInd w:val="0"/>
        <w:snapToGrid w:val="0"/>
        <w:spacing w:line="360" w:lineRule="auto"/>
        <w:ind w:firstLine="482" w:firstLineChars="200"/>
        <w:rPr>
          <w:rFonts w:cs="宋体"/>
          <w:b/>
          <w:sz w:val="24"/>
        </w:rPr>
      </w:pPr>
      <w:r>
        <w:rPr>
          <w:rFonts w:hint="eastAsia" w:cs="宋体"/>
          <w:b/>
          <w:sz w:val="24"/>
        </w:rPr>
        <w:t>（五）费用变更</w:t>
      </w:r>
    </w:p>
    <w:p w14:paraId="3548A9CB">
      <w:pPr>
        <w:adjustRightInd w:val="0"/>
        <w:snapToGrid w:val="0"/>
        <w:spacing w:line="360" w:lineRule="auto"/>
        <w:ind w:firstLine="480" w:firstLineChars="200"/>
        <w:rPr>
          <w:rFonts w:cs="宋体"/>
          <w:sz w:val="24"/>
        </w:rPr>
      </w:pPr>
      <w:r>
        <w:rPr>
          <w:rFonts w:hint="eastAsia" w:cs="宋体"/>
          <w:sz w:val="24"/>
        </w:rPr>
        <w:t>若临床试验期间，因方案修改导致研究经费发生变动，由双方重新协商解决，必要时另行签署补充协议。</w:t>
      </w:r>
    </w:p>
    <w:p w14:paraId="312915F4">
      <w:pPr>
        <w:adjustRightInd w:val="0"/>
        <w:snapToGrid w:val="0"/>
        <w:spacing w:line="360" w:lineRule="auto"/>
        <w:ind w:firstLine="482" w:firstLineChars="200"/>
        <w:rPr>
          <w:rFonts w:cs="宋体"/>
          <w:b/>
          <w:sz w:val="24"/>
        </w:rPr>
      </w:pPr>
      <w:r>
        <w:rPr>
          <w:rFonts w:hint="eastAsia" w:cs="宋体"/>
          <w:b/>
          <w:sz w:val="24"/>
        </w:rPr>
        <w:t>（六）乙方账户</w:t>
      </w:r>
    </w:p>
    <w:p w14:paraId="61369BC5">
      <w:pPr>
        <w:adjustRightInd w:val="0"/>
        <w:snapToGrid w:val="0"/>
        <w:spacing w:line="360" w:lineRule="auto"/>
        <w:ind w:firstLine="480" w:firstLineChars="200"/>
        <w:rPr>
          <w:rFonts w:cs="宋体"/>
          <w:sz w:val="24"/>
        </w:rPr>
      </w:pPr>
      <w:commentRangeStart w:id="1"/>
      <w:r>
        <w:rPr>
          <w:rFonts w:hint="eastAsia" w:cs="宋体"/>
          <w:sz w:val="24"/>
        </w:rPr>
        <w:t>本协议项下所有甲方对乙方（研究机构）的付款，均应付至如下研究机构的银行账户：</w:t>
      </w:r>
      <w:commentRangeEnd w:id="1"/>
      <w:r>
        <w:rPr>
          <w:rFonts w:hint="eastAsia" w:cs="宋体"/>
          <w:sz w:val="24"/>
        </w:rPr>
        <w:commentReference w:id="1"/>
      </w:r>
    </w:p>
    <w:p w14:paraId="793C9270">
      <w:pPr>
        <w:widowControl/>
        <w:tabs>
          <w:tab w:val="left" w:pos="720"/>
        </w:tabs>
        <w:adjustRightInd w:val="0"/>
        <w:snapToGrid w:val="0"/>
        <w:spacing w:line="360" w:lineRule="auto"/>
        <w:ind w:firstLine="480" w:firstLineChars="200"/>
        <w:jc w:val="left"/>
        <w:rPr>
          <w:rFonts w:cs="宋体"/>
          <w:sz w:val="24"/>
        </w:rPr>
      </w:pPr>
      <w:r>
        <w:rPr>
          <w:rFonts w:hint="eastAsia" w:cs="宋体"/>
          <w:sz w:val="24"/>
        </w:rPr>
        <w:t>账户名称：眉山市人民医院</w:t>
      </w:r>
    </w:p>
    <w:p w14:paraId="19936CE6">
      <w:pPr>
        <w:widowControl/>
        <w:tabs>
          <w:tab w:val="left" w:pos="720"/>
        </w:tabs>
        <w:adjustRightInd w:val="0"/>
        <w:snapToGrid w:val="0"/>
        <w:spacing w:line="360" w:lineRule="auto"/>
        <w:ind w:firstLine="480" w:firstLineChars="200"/>
        <w:jc w:val="left"/>
        <w:rPr>
          <w:rFonts w:cs="宋体"/>
          <w:sz w:val="24"/>
        </w:rPr>
      </w:pPr>
      <w:r>
        <w:rPr>
          <w:rFonts w:hint="eastAsia" w:cs="宋体"/>
          <w:sz w:val="24"/>
        </w:rPr>
        <w:t>账    号：2313065709100005288</w:t>
      </w:r>
    </w:p>
    <w:p w14:paraId="0CAE57F8">
      <w:pPr>
        <w:widowControl/>
        <w:tabs>
          <w:tab w:val="left" w:pos="720"/>
        </w:tabs>
        <w:adjustRightInd w:val="0"/>
        <w:snapToGrid w:val="0"/>
        <w:spacing w:line="360" w:lineRule="auto"/>
        <w:ind w:firstLine="480" w:firstLineChars="200"/>
        <w:jc w:val="left"/>
        <w:rPr>
          <w:rFonts w:cs="宋体"/>
          <w:sz w:val="24"/>
        </w:rPr>
      </w:pPr>
      <w:r>
        <w:rPr>
          <w:rFonts w:hint="eastAsia" w:cs="宋体"/>
          <w:sz w:val="24"/>
        </w:rPr>
        <w:t>开户银行：工行眉山城北支行</w:t>
      </w:r>
    </w:p>
    <w:p w14:paraId="4D0454FC">
      <w:pPr>
        <w:adjustRightInd w:val="0"/>
        <w:snapToGrid w:val="0"/>
        <w:spacing w:line="360" w:lineRule="auto"/>
        <w:ind w:firstLine="480" w:firstLineChars="200"/>
        <w:rPr>
          <w:rFonts w:cs="宋体"/>
          <w:sz w:val="24"/>
        </w:rPr>
      </w:pPr>
      <w:r>
        <w:rPr>
          <w:rFonts w:hint="eastAsia" w:cs="宋体"/>
          <w:sz w:val="24"/>
        </w:rPr>
        <w:t>统一社会代码：12511700684172056B</w:t>
      </w:r>
    </w:p>
    <w:p w14:paraId="14582261">
      <w:pPr>
        <w:adjustRightInd w:val="0"/>
        <w:snapToGrid w:val="0"/>
        <w:spacing w:line="360" w:lineRule="auto"/>
        <w:ind w:firstLine="482" w:firstLineChars="200"/>
        <w:rPr>
          <w:rFonts w:cs="宋体"/>
          <w:b/>
          <w:sz w:val="24"/>
        </w:rPr>
      </w:pPr>
      <w:r>
        <w:rPr>
          <w:rFonts w:hint="eastAsia" w:cs="宋体"/>
          <w:b/>
          <w:sz w:val="24"/>
        </w:rPr>
        <w:t>（八）发票事宜</w:t>
      </w:r>
    </w:p>
    <w:p w14:paraId="4DE26F49">
      <w:pPr>
        <w:adjustRightInd w:val="0"/>
        <w:snapToGrid w:val="0"/>
        <w:spacing w:line="360" w:lineRule="auto"/>
        <w:ind w:firstLine="480" w:firstLineChars="200"/>
        <w:rPr>
          <w:rFonts w:cs="宋体"/>
          <w:sz w:val="24"/>
        </w:rPr>
      </w:pPr>
      <w:r>
        <w:rPr>
          <w:rFonts w:hint="eastAsia" w:cs="宋体"/>
          <w:sz w:val="24"/>
        </w:rPr>
        <w:t>乙方需在收到甲方研究费用后向甲方出具同等面值的税</w:t>
      </w:r>
      <w:r>
        <w:rPr>
          <w:rFonts w:hint="eastAsia" w:cs="宋体"/>
          <w:sz w:val="24"/>
          <w:lang w:val="en-US" w:eastAsia="zh-CN"/>
        </w:rPr>
        <w:t>务</w:t>
      </w:r>
      <w:r>
        <w:rPr>
          <w:rFonts w:hint="eastAsia" w:cs="宋体"/>
          <w:sz w:val="24"/>
        </w:rPr>
        <w:t>普通发票（发票项目：*研发和技术服务*临床观察费）。 开具发票信息：</w:t>
      </w:r>
    </w:p>
    <w:p w14:paraId="7CAA7F70">
      <w:pPr>
        <w:widowControl/>
        <w:tabs>
          <w:tab w:val="left" w:pos="720"/>
        </w:tabs>
        <w:adjustRightInd w:val="0"/>
        <w:snapToGrid w:val="0"/>
        <w:spacing w:line="360" w:lineRule="auto"/>
        <w:ind w:firstLine="480" w:firstLineChars="200"/>
        <w:jc w:val="left"/>
        <w:rPr>
          <w:rFonts w:cs="宋体"/>
          <w:sz w:val="24"/>
        </w:rPr>
      </w:pPr>
      <w:r>
        <w:rPr>
          <w:rFonts w:hint="eastAsia" w:cs="宋体"/>
          <w:sz w:val="24"/>
        </w:rPr>
        <w:t>账户名称：</w:t>
      </w:r>
    </w:p>
    <w:p w14:paraId="38F4D652">
      <w:pPr>
        <w:adjustRightInd w:val="0"/>
        <w:snapToGrid w:val="0"/>
        <w:spacing w:line="360" w:lineRule="auto"/>
        <w:ind w:firstLine="480" w:firstLineChars="200"/>
        <w:rPr>
          <w:rFonts w:cs="宋体"/>
          <w:sz w:val="24"/>
        </w:rPr>
      </w:pPr>
      <w:r>
        <w:rPr>
          <w:rFonts w:hint="eastAsia" w:cs="宋体"/>
          <w:sz w:val="24"/>
        </w:rPr>
        <w:t>地    址：</w:t>
      </w:r>
    </w:p>
    <w:p w14:paraId="3D380C0D">
      <w:pPr>
        <w:adjustRightInd w:val="0"/>
        <w:snapToGrid w:val="0"/>
        <w:spacing w:line="360" w:lineRule="auto"/>
        <w:ind w:firstLine="480" w:firstLineChars="200"/>
        <w:rPr>
          <w:rFonts w:cs="宋体"/>
          <w:sz w:val="24"/>
        </w:rPr>
      </w:pPr>
      <w:r>
        <w:rPr>
          <w:rFonts w:hint="eastAsia" w:cs="宋体"/>
          <w:sz w:val="24"/>
        </w:rPr>
        <w:t>电    话：</w:t>
      </w:r>
    </w:p>
    <w:p w14:paraId="22AF855C">
      <w:pPr>
        <w:adjustRightInd w:val="0"/>
        <w:snapToGrid w:val="0"/>
        <w:spacing w:line="360" w:lineRule="auto"/>
        <w:ind w:firstLine="480" w:firstLineChars="200"/>
        <w:rPr>
          <w:rFonts w:cs="宋体"/>
          <w:sz w:val="24"/>
        </w:rPr>
      </w:pPr>
      <w:r>
        <w:rPr>
          <w:rFonts w:hint="eastAsia" w:cs="宋体"/>
          <w:sz w:val="24"/>
        </w:rPr>
        <w:t>账    号：</w:t>
      </w:r>
    </w:p>
    <w:p w14:paraId="2D75BCAF">
      <w:pPr>
        <w:widowControl/>
        <w:tabs>
          <w:tab w:val="left" w:pos="720"/>
        </w:tabs>
        <w:adjustRightInd w:val="0"/>
        <w:snapToGrid w:val="0"/>
        <w:spacing w:line="360" w:lineRule="auto"/>
        <w:ind w:firstLine="480" w:firstLineChars="200"/>
        <w:jc w:val="left"/>
        <w:rPr>
          <w:rFonts w:cs="宋体"/>
          <w:sz w:val="24"/>
        </w:rPr>
      </w:pPr>
      <w:r>
        <w:rPr>
          <w:rFonts w:hint="eastAsia" w:cs="宋体"/>
          <w:sz w:val="24"/>
        </w:rPr>
        <w:t xml:space="preserve">开户银行： </w:t>
      </w:r>
    </w:p>
    <w:p w14:paraId="29CC4647">
      <w:pPr>
        <w:adjustRightInd w:val="0"/>
        <w:snapToGrid w:val="0"/>
        <w:spacing w:line="360" w:lineRule="auto"/>
        <w:ind w:firstLine="480" w:firstLineChars="200"/>
        <w:rPr>
          <w:rFonts w:cs="宋体"/>
          <w:sz w:val="24"/>
        </w:rPr>
      </w:pPr>
      <w:r>
        <w:rPr>
          <w:rFonts w:hint="eastAsia" w:cs="宋体"/>
          <w:sz w:val="24"/>
        </w:rPr>
        <w:t>统一社会代码：</w:t>
      </w:r>
    </w:p>
    <w:p w14:paraId="6160CB3C">
      <w:pPr>
        <w:pStyle w:val="2"/>
      </w:pPr>
      <w:r>
        <w:rPr>
          <w:rFonts w:hint="eastAsia"/>
        </w:rPr>
        <w:t>四.计划与进度</w:t>
      </w:r>
    </w:p>
    <w:p w14:paraId="77B38943">
      <w:pPr>
        <w:adjustRightInd w:val="0"/>
        <w:snapToGrid w:val="0"/>
        <w:spacing w:line="360" w:lineRule="auto"/>
        <w:ind w:firstLine="480" w:firstLineChars="200"/>
        <w:rPr>
          <w:rFonts w:cs="宋体"/>
          <w:sz w:val="24"/>
        </w:rPr>
      </w:pPr>
      <w:r>
        <w:rPr>
          <w:rFonts w:hint="eastAsia" w:cs="宋体"/>
          <w:sz w:val="24"/>
        </w:rPr>
        <w:t>在合同正式签订，获得</w:t>
      </w:r>
      <w:r>
        <w:rPr>
          <w:rFonts w:hint="eastAsia" w:cs="宋体"/>
          <w:b/>
          <w:sz w:val="24"/>
        </w:rPr>
        <w:t>眉山市人民医院临床试验</w:t>
      </w:r>
      <w:r>
        <w:rPr>
          <w:rFonts w:hint="eastAsia" w:cs="宋体"/>
          <w:sz w:val="24"/>
        </w:rPr>
        <w:t>伦理委员会批件，各种试验相关文件、试验用药物、研究经费、所有临床试验所需物资等到位后，乙方开始在眉山市人民医院_________科内进行临床试验。力争在_____个月内完成____例受试者的筛选、入组、临床观察，提供符合GCP要求的CRF等法规要求的相关内容。若因试验用药延期送达、方案等原始资料修改、经费未及时转账等原因造成的延误，责任由甲方自负。</w:t>
      </w:r>
    </w:p>
    <w:p w14:paraId="739648CA">
      <w:pPr>
        <w:pStyle w:val="2"/>
      </w:pPr>
      <w:r>
        <w:rPr>
          <w:rFonts w:hint="eastAsia"/>
        </w:rPr>
        <w:t>五.研究监查、质量控制与保证</w:t>
      </w:r>
    </w:p>
    <w:p w14:paraId="47B9565D">
      <w:pPr>
        <w:adjustRightInd w:val="0"/>
        <w:snapToGrid w:val="0"/>
        <w:spacing w:line="360" w:lineRule="auto"/>
        <w:ind w:firstLine="480" w:firstLineChars="200"/>
        <w:rPr>
          <w:rFonts w:cs="宋体"/>
          <w:sz w:val="24"/>
        </w:rPr>
      </w:pPr>
      <w:r>
        <w:rPr>
          <w:rFonts w:hint="eastAsia" w:cs="宋体"/>
          <w:sz w:val="24"/>
        </w:rPr>
        <w:t>1.甲方负责委派合格的监查员，并为乙方所接受，依照监查员的工作任务监查临床试验实施过程和所有试验资料，并就监查中发现的问题与研究者协商解决，及时整改，发现的问题及整改情况同时抄送机构办备案。</w:t>
      </w:r>
    </w:p>
    <w:p w14:paraId="6C602D59">
      <w:pPr>
        <w:adjustRightInd w:val="0"/>
        <w:snapToGrid w:val="0"/>
        <w:spacing w:line="360" w:lineRule="auto"/>
        <w:ind w:firstLine="480" w:firstLineChars="200"/>
        <w:rPr>
          <w:rFonts w:cs="宋体"/>
          <w:sz w:val="24"/>
        </w:rPr>
      </w:pPr>
      <w:r>
        <w:rPr>
          <w:rFonts w:hint="eastAsia" w:cs="宋体"/>
          <w:sz w:val="24"/>
        </w:rPr>
        <w:t>2.甲方监查员负责对试验的质量进行监查，确保所有试验资料符合上报要求，并及时（事件获悉后3天内）向乙方告知可能影响受试者健康或安全的严重或持续违背方案事件。监查频率应和入组进度相协调。</w:t>
      </w:r>
    </w:p>
    <w:p w14:paraId="3D435D8B">
      <w:pPr>
        <w:adjustRightInd w:val="0"/>
        <w:snapToGrid w:val="0"/>
        <w:spacing w:line="360" w:lineRule="auto"/>
        <w:ind w:firstLine="480" w:firstLineChars="200"/>
        <w:rPr>
          <w:rFonts w:cs="宋体"/>
          <w:sz w:val="24"/>
        </w:rPr>
      </w:pPr>
      <w:r>
        <w:rPr>
          <w:rFonts w:hint="eastAsia" w:cs="宋体"/>
          <w:sz w:val="24"/>
        </w:rPr>
        <w:t>3.监查员有权核对与该项研究有关的所有受试者的原始资料。根据有关法规监查员应保护受试者的隐私。</w:t>
      </w:r>
    </w:p>
    <w:p w14:paraId="24C78C78">
      <w:pPr>
        <w:adjustRightInd w:val="0"/>
        <w:snapToGrid w:val="0"/>
        <w:spacing w:line="360" w:lineRule="auto"/>
        <w:ind w:firstLine="480" w:firstLineChars="200"/>
        <w:rPr>
          <w:rFonts w:cs="宋体"/>
          <w:sz w:val="24"/>
        </w:rPr>
      </w:pPr>
      <w:r>
        <w:rPr>
          <w:rFonts w:hint="eastAsia" w:cs="宋体"/>
          <w:sz w:val="24"/>
        </w:rPr>
        <w:t>4.在临床试验开始入组1例到3例时，监查员务必联系乙方机构办质控员，并报告监查结果。</w:t>
      </w:r>
    </w:p>
    <w:p w14:paraId="7470B4EE">
      <w:pPr>
        <w:adjustRightInd w:val="0"/>
        <w:snapToGrid w:val="0"/>
        <w:spacing w:line="360" w:lineRule="auto"/>
        <w:ind w:firstLine="480" w:firstLineChars="200"/>
        <w:rPr>
          <w:rFonts w:cs="宋体"/>
          <w:sz w:val="24"/>
        </w:rPr>
      </w:pPr>
      <w:r>
        <w:rPr>
          <w:rFonts w:hint="eastAsia" w:cs="宋体"/>
          <w:sz w:val="24"/>
        </w:rPr>
        <w:t>5.凡是试验时间超过一年的，甲方必须每年向乙方伦理委员会提交年度跟踪审查报告。</w:t>
      </w:r>
    </w:p>
    <w:p w14:paraId="537CF0F9">
      <w:pPr>
        <w:adjustRightInd w:val="0"/>
        <w:snapToGrid w:val="0"/>
        <w:spacing w:line="360" w:lineRule="auto"/>
        <w:ind w:firstLine="480" w:firstLineChars="200"/>
        <w:rPr>
          <w:rFonts w:cs="宋体"/>
          <w:sz w:val="24"/>
        </w:rPr>
      </w:pPr>
      <w:r>
        <w:rPr>
          <w:rFonts w:hint="eastAsia" w:cs="宋体"/>
          <w:sz w:val="24"/>
        </w:rPr>
        <w:t>6.甲方应当在试验结束后半年内提供总结报告，如不能完成应向乙方提供书面说明</w:t>
      </w:r>
      <w:r>
        <w:rPr>
          <w:rFonts w:hint="eastAsia" w:cs="宋体"/>
          <w:sz w:val="24"/>
          <w:lang w:val="en-US" w:eastAsia="zh-Hans"/>
        </w:rPr>
        <w:t>并尽快提供报告</w:t>
      </w:r>
      <w:r>
        <w:rPr>
          <w:rFonts w:hint="eastAsia" w:cs="宋体"/>
          <w:sz w:val="24"/>
        </w:rPr>
        <w:t>。</w:t>
      </w:r>
    </w:p>
    <w:p w14:paraId="2CA0535A">
      <w:pPr>
        <w:adjustRightInd w:val="0"/>
        <w:snapToGrid w:val="0"/>
        <w:spacing w:line="360" w:lineRule="auto"/>
        <w:ind w:firstLine="480" w:firstLineChars="200"/>
        <w:rPr>
          <w:rFonts w:cs="宋体"/>
          <w:sz w:val="24"/>
        </w:rPr>
      </w:pPr>
      <w:r>
        <w:rPr>
          <w:rFonts w:hint="eastAsia" w:cs="宋体"/>
          <w:sz w:val="24"/>
        </w:rPr>
        <w:t>7.如果甲方或监查员发现乙方未严格执行试验方案或未严格执行GCP，甲方或监查员应及时通知研究者进行整改，直至整改合格。监查员的监查记录对试验数据和质量的认同即代表甲方或CRO最终确认接受试验数据。基于对这些数据的接受，试验甲方或CRO将不得再对日后发现的试验数据差异或其他质量问题要求试验机构和研究者承担责任。</w:t>
      </w:r>
    </w:p>
    <w:p w14:paraId="7C6C6428">
      <w:pPr>
        <w:adjustRightInd w:val="0"/>
        <w:snapToGrid w:val="0"/>
        <w:spacing w:line="360" w:lineRule="auto"/>
        <w:ind w:firstLine="480" w:firstLineChars="200"/>
        <w:rPr>
          <w:rFonts w:cs="宋体"/>
          <w:sz w:val="24"/>
        </w:rPr>
      </w:pPr>
      <w:r>
        <w:rPr>
          <w:rFonts w:hint="eastAsia" w:cs="宋体"/>
          <w:sz w:val="24"/>
        </w:rPr>
        <w:t>8.甲方派出的监查员以及其他任何人员在监查、随访、数据审核等一切活动中不得进行原始数据的篡改、修改、修饰等，如有违反，甲方将承担所有的相关法律责任。甲方对监查员的监查活动及监管活动的结果负责。</w:t>
      </w:r>
    </w:p>
    <w:p w14:paraId="32BE99A0">
      <w:pPr>
        <w:pStyle w:val="2"/>
      </w:pPr>
      <w:r>
        <w:rPr>
          <w:rFonts w:hint="eastAsia"/>
        </w:rPr>
        <w:t>六.合同结束对技术内容的验收标准及方式</w:t>
      </w:r>
    </w:p>
    <w:p w14:paraId="0BD86B2F">
      <w:pPr>
        <w:adjustRightInd w:val="0"/>
        <w:snapToGrid w:val="0"/>
        <w:spacing w:line="360" w:lineRule="auto"/>
        <w:ind w:firstLine="480" w:firstLineChars="200"/>
        <w:rPr>
          <w:rFonts w:cs="宋体"/>
          <w:sz w:val="24"/>
        </w:rPr>
      </w:pPr>
      <w:r>
        <w:rPr>
          <w:rFonts w:hint="eastAsia" w:cs="宋体"/>
          <w:sz w:val="24"/>
        </w:rPr>
        <w:t>1.在试验结束时，甲方按国家药品监督管理局颁布的药物临床试验相关法规中对药物临床试验的要求以及临床试验方案，对乙方提供的临床试验病例报告表及临床试验小结表等进行验收，同时甲方应保证所有的研究经费已全部到乙方账户。</w:t>
      </w:r>
    </w:p>
    <w:p w14:paraId="17EC91E1">
      <w:pPr>
        <w:adjustRightInd w:val="0"/>
        <w:snapToGrid w:val="0"/>
        <w:spacing w:line="360" w:lineRule="auto"/>
        <w:ind w:firstLine="480" w:firstLineChars="200"/>
        <w:rPr>
          <w:rFonts w:cs="宋体"/>
          <w:sz w:val="24"/>
        </w:rPr>
      </w:pPr>
      <w:r>
        <w:rPr>
          <w:rFonts w:hint="eastAsia" w:cs="宋体"/>
          <w:sz w:val="24"/>
        </w:rPr>
        <w:t>2.若临床试验内容因乙方原因不符合方案和合同的要求，乙方应配合甲方进行补充、完善。但若因试验药物（包括对照药）本身或药物质量，或甲方提供的方案等其他资料本身设计不规范影响研究结果，则责任由甲方自负。</w:t>
      </w:r>
    </w:p>
    <w:p w14:paraId="3143576F">
      <w:pPr>
        <w:pStyle w:val="2"/>
      </w:pPr>
      <w:r>
        <w:rPr>
          <w:rFonts w:hint="eastAsia"/>
        </w:rPr>
        <w:t>七.知识产权、成果归属与分享</w:t>
      </w:r>
    </w:p>
    <w:p w14:paraId="5B75CB02">
      <w:pPr>
        <w:pStyle w:val="4"/>
        <w:adjustRightInd w:val="0"/>
        <w:snapToGrid w:val="0"/>
        <w:spacing w:line="360" w:lineRule="auto"/>
        <w:ind w:firstLine="480" w:firstLineChars="200"/>
        <w:rPr>
          <w:rFonts w:cs="宋体"/>
          <w:sz w:val="24"/>
        </w:rPr>
      </w:pPr>
      <w:r>
        <w:rPr>
          <w:rFonts w:hint="eastAsia" w:cs="宋体"/>
          <w:sz w:val="24"/>
        </w:rPr>
        <w:t>1.乙方、主要研究者与其他研究者在临床试验期间获得的临床试验数据和结果的使用权属于甲方所有，乙方及其研究者不得将这些数据用于任何商业目的。</w:t>
      </w:r>
    </w:p>
    <w:p w14:paraId="11EABE1D">
      <w:pPr>
        <w:pStyle w:val="4"/>
        <w:adjustRightInd w:val="0"/>
        <w:snapToGrid w:val="0"/>
        <w:spacing w:line="360" w:lineRule="auto"/>
        <w:ind w:firstLine="480" w:firstLineChars="200"/>
        <w:rPr>
          <w:rFonts w:cs="宋体"/>
          <w:sz w:val="24"/>
        </w:rPr>
      </w:pPr>
      <w:r>
        <w:rPr>
          <w:rFonts w:hint="eastAsia" w:cs="宋体"/>
          <w:sz w:val="24"/>
        </w:rPr>
        <w:t>2.甲方在申报本临床试验研究成果时，若引用临床试验资料，乙方应作为协作单位。甲方在获得国家药品监督管理局的新药生产批件后，应给乙方一份复印件。</w:t>
      </w:r>
    </w:p>
    <w:p w14:paraId="43CCBF6B">
      <w:pPr>
        <w:adjustRightInd w:val="0"/>
        <w:snapToGrid w:val="0"/>
        <w:spacing w:line="360" w:lineRule="auto"/>
        <w:ind w:firstLine="480" w:firstLineChars="200"/>
        <w:rPr>
          <w:rFonts w:cs="宋体"/>
          <w:sz w:val="24"/>
        </w:rPr>
      </w:pPr>
      <w:r>
        <w:rPr>
          <w:rFonts w:hint="eastAsia" w:cs="宋体"/>
          <w:sz w:val="24"/>
        </w:rPr>
        <w:t>3.乙方在学术会议或刊物上交流临床试验结果时应征得甲方同意。</w:t>
      </w:r>
    </w:p>
    <w:p w14:paraId="40B35BD3">
      <w:pPr>
        <w:pStyle w:val="4"/>
        <w:adjustRightInd w:val="0"/>
        <w:snapToGrid w:val="0"/>
        <w:spacing w:line="360" w:lineRule="auto"/>
        <w:ind w:firstLine="480" w:firstLineChars="200"/>
        <w:rPr>
          <w:rFonts w:cs="宋体"/>
          <w:sz w:val="24"/>
        </w:rPr>
      </w:pPr>
      <w:r>
        <w:rPr>
          <w:rFonts w:hint="eastAsia" w:cs="宋体"/>
          <w:sz w:val="24"/>
        </w:rPr>
        <w:t>4.根据《中华人民共和国人类遗传资源管理条例》的规定，利用我国人类遗传资源开展国际合作科学研究，产生的成果申请专利的，或将数据用于支持任何未决的或将来的专利申请，应由甲乙双方共同提出申请，专利权归甲乙双方共有。研究产生的其他科技成果，其使用权、转让权和利益分享办法由合作双方通过合作协议约定；协议没有约定的，合作双方都有使用的权利，但向第三方转让须经合作双方同意，所获利益按合作双方贡献大小分享。</w:t>
      </w:r>
    </w:p>
    <w:p w14:paraId="4BB1B94E">
      <w:pPr>
        <w:pStyle w:val="2"/>
      </w:pPr>
      <w:r>
        <w:rPr>
          <w:rFonts w:hint="eastAsia"/>
        </w:rPr>
        <w:t>八.必备文件保存及保密义务</w:t>
      </w:r>
    </w:p>
    <w:p w14:paraId="104EFF2E">
      <w:pPr>
        <w:adjustRightInd w:val="0"/>
        <w:snapToGrid w:val="0"/>
        <w:spacing w:line="360" w:lineRule="auto"/>
        <w:ind w:firstLine="480" w:firstLineChars="200"/>
        <w:rPr>
          <w:rFonts w:cs="宋体"/>
          <w:sz w:val="24"/>
        </w:rPr>
      </w:pPr>
      <w:r>
        <w:rPr>
          <w:rFonts w:hint="eastAsia" w:cs="宋体"/>
          <w:sz w:val="24"/>
        </w:rPr>
        <w:t>1.临床试验结束后，《药物临床试验必备文件保存指导原则》中规定由临床试验机构保存的所有必备文件统一归档至机构办档案室保存。超过国家规定保存期限时开始计费。</w:t>
      </w:r>
      <w:r>
        <w:rPr>
          <w:rFonts w:hint="eastAsia" w:cs="宋体"/>
          <w:sz w:val="24"/>
          <w:shd w:val="pct10" w:color="auto" w:fill="FFFFFF"/>
        </w:rPr>
        <w:t>收费标准（已含保管费、税费）</w:t>
      </w:r>
      <w:r>
        <w:rPr>
          <w:rFonts w:hint="eastAsia" w:cs="宋体"/>
          <w:sz w:val="24"/>
        </w:rPr>
        <w:t>：2000元/10例/5年，不足10例按照10例计算；筛选失败病例100元/10例/5年。一次性收取10年费用，此费用在尾款结算时一并结清。</w:t>
      </w:r>
    </w:p>
    <w:p w14:paraId="5161C3CF">
      <w:pPr>
        <w:adjustRightInd w:val="0"/>
        <w:snapToGrid w:val="0"/>
        <w:spacing w:line="360" w:lineRule="auto"/>
        <w:ind w:firstLine="480" w:firstLineChars="200"/>
        <w:rPr>
          <w:rFonts w:cs="宋体"/>
          <w:sz w:val="24"/>
        </w:rPr>
      </w:pPr>
      <w:r>
        <w:rPr>
          <w:rFonts w:hint="eastAsia" w:cs="宋体"/>
          <w:kern w:val="0"/>
          <w:sz w:val="24"/>
        </w:rPr>
        <w:t>2.</w:t>
      </w:r>
      <w:r>
        <w:rPr>
          <w:rFonts w:hint="eastAsia" w:cs="宋体"/>
          <w:sz w:val="24"/>
        </w:rPr>
        <w:t>试验药物批准上市或未批准上市，申办者应及时将信息告知机构办。临床试验必备文件10年保管期限到期前90天，申办者应通过邮件（myjggcp@163.com）或电话联系机构办，商讨文件后续保存事宜。如到期未联系，且试验药物已满足批准上市后5年（未申请注册或未批准上市者，期限为试验终止后5年）的要求，则临床试验机构有权自行处理资料。</w:t>
      </w:r>
    </w:p>
    <w:p w14:paraId="366A2656">
      <w:pPr>
        <w:adjustRightInd w:val="0"/>
        <w:snapToGrid w:val="0"/>
        <w:spacing w:line="360" w:lineRule="auto"/>
        <w:ind w:firstLine="480" w:firstLineChars="200"/>
        <w:rPr>
          <w:rFonts w:ascii="宋体" w:hAnsi="宋体" w:cs="宋体"/>
          <w:sz w:val="24"/>
        </w:rPr>
      </w:pPr>
      <w:r>
        <w:rPr>
          <w:rFonts w:ascii="宋体" w:hAnsi="宋体" w:cs="宋体"/>
          <w:sz w:val="24"/>
        </w:rPr>
        <w:t>3.</w:t>
      </w:r>
      <w:r>
        <w:rPr>
          <w:rFonts w:hint="eastAsia" w:ascii="宋体" w:hAnsi="宋体" w:cs="宋体"/>
          <w:sz w:val="24"/>
        </w:rPr>
        <w:t>本临床试验所涉及的全部研究资料，乙方负有永久保密责任，包括但不限于试验方案、</w:t>
      </w:r>
      <w:r>
        <w:rPr>
          <w:rFonts w:ascii="宋体" w:hAnsi="宋体" w:cs="宋体"/>
          <w:sz w:val="24"/>
        </w:rPr>
        <w:t>CRF</w:t>
      </w:r>
      <w:r>
        <w:rPr>
          <w:rFonts w:hint="eastAsia" w:ascii="宋体" w:hAnsi="宋体" w:cs="宋体"/>
          <w:sz w:val="24"/>
        </w:rPr>
        <w:t>、受试者信息、原始记录、项目信息、成果、临床试验总结报告、合同金额、操作模式、进展情况、临床试验项目管理的文件资料和</w:t>
      </w:r>
      <w:r>
        <w:rPr>
          <w:rFonts w:ascii="宋体" w:hAnsi="宋体" w:cs="宋体"/>
          <w:sz w:val="24"/>
        </w:rPr>
        <w:t>SOP</w:t>
      </w:r>
      <w:r>
        <w:rPr>
          <w:rFonts w:hint="eastAsia" w:ascii="宋体" w:hAnsi="宋体" w:cs="宋体"/>
          <w:sz w:val="24"/>
        </w:rPr>
        <w:t>等、处方，工艺、质量、稳定性、药理、毒理、临床、试验样品、所有文件、资料、方案、原始记录与之相关的一切技术资料、研究资料和论文、市场经济信息等技术秘密和商业秘密。对于申办者或甲方向乙方提交的所有试验用药、技术资料、通过反向工程获取的所有研究资料，包括但不限于原辅料的种类、辅料的具体型号、配比、测定工艺的关键步骤、CPP（关键工艺参数）、CQA（关键质量属性）等，试验机构负有永久保密责任。如需公开，必须经申办者书面同意。</w:t>
      </w:r>
    </w:p>
    <w:p w14:paraId="04048D3F">
      <w:pPr>
        <w:adjustRightInd w:val="0"/>
        <w:snapToGrid w:val="0"/>
        <w:spacing w:line="360" w:lineRule="auto"/>
        <w:ind w:firstLine="480" w:firstLineChars="200"/>
        <w:rPr>
          <w:rFonts w:ascii="宋体" w:hAnsi="宋体" w:cs="宋体"/>
          <w:sz w:val="24"/>
        </w:rPr>
      </w:pPr>
      <w:r>
        <w:rPr>
          <w:rFonts w:hint="eastAsia" w:ascii="宋体" w:hAnsi="宋体" w:cs="宋体"/>
          <w:sz w:val="24"/>
        </w:rPr>
        <w:t>4</w:t>
      </w:r>
      <w:r>
        <w:rPr>
          <w:rFonts w:ascii="宋体" w:hAnsi="宋体" w:cs="宋体"/>
          <w:sz w:val="24"/>
        </w:rPr>
        <w:t xml:space="preserve">. </w:t>
      </w:r>
      <w:r>
        <w:rPr>
          <w:rFonts w:hint="eastAsia" w:ascii="宋体" w:hAnsi="宋体" w:cs="宋体"/>
          <w:sz w:val="24"/>
        </w:rPr>
        <w:t>本合同的任何一方均不得以任何方式对外提供或公开本项目的技术秘密和商业秘密，包括但不限于发表相关论文、演讲、学术交流、会议讨论，但行政、司法要求进行的公开以及申办者为产品申请专利、市场推广宣传和制作应用指导手册进行的公开除外。在申办者就本药品取得国家上市批准后，双方可以发表药理、毒理、临床研究论文，但不得发表与工艺、质量研究相关的论文。试验机构以及涉及本临床试验的所有试验机构人员，包括但不限于</w:t>
      </w:r>
      <w:r>
        <w:rPr>
          <w:rFonts w:ascii="宋体" w:hAnsi="宋体" w:cs="宋体"/>
          <w:sz w:val="24"/>
        </w:rPr>
        <w:t>PI</w:t>
      </w:r>
      <w:r>
        <w:rPr>
          <w:rFonts w:hint="eastAsia" w:ascii="宋体" w:hAnsi="宋体" w:cs="宋体"/>
          <w:sz w:val="24"/>
        </w:rPr>
        <w:t>、医生、实习生等，在发表任何论文前，或递交学术会议资料前，或其他宣传资料使用前，均应征得申办者的书面同意，否则，视为乙方违约，试验机构应按照合同约定承担违约责任。</w:t>
      </w:r>
    </w:p>
    <w:p w14:paraId="3EF699D8">
      <w:pPr>
        <w:adjustRightInd w:val="0"/>
        <w:snapToGrid w:val="0"/>
        <w:spacing w:line="360" w:lineRule="auto"/>
        <w:ind w:firstLine="480" w:firstLineChars="200"/>
        <w:rPr>
          <w:rFonts w:ascii="宋体" w:hAnsi="宋体" w:cs="宋体"/>
          <w:sz w:val="24"/>
        </w:rPr>
      </w:pPr>
      <w:r>
        <w:rPr>
          <w:rFonts w:hint="eastAsia" w:ascii="宋体" w:hAnsi="宋体" w:cs="宋体"/>
          <w:sz w:val="24"/>
        </w:rPr>
        <w:t>5</w:t>
      </w:r>
      <w:r>
        <w:rPr>
          <w:rFonts w:ascii="宋体" w:hAnsi="宋体" w:cs="宋体"/>
          <w:sz w:val="24"/>
        </w:rPr>
        <w:t xml:space="preserve">. </w:t>
      </w:r>
      <w:r>
        <w:rPr>
          <w:rFonts w:hint="eastAsia" w:ascii="宋体" w:hAnsi="宋体" w:cs="宋体"/>
          <w:sz w:val="24"/>
        </w:rPr>
        <w:t>双方保证其涉及或知悉本合同项目的任何人员（无论其在职或离职），对本合同项下及本合同项目所涉及的所有技术秘密和商业秘密均应严格保密，不得以任何方式向第三方泄露，否则，泄密一方应承担泄密责任。</w:t>
      </w:r>
    </w:p>
    <w:p w14:paraId="2CD6FD01">
      <w:pPr>
        <w:adjustRightInd w:val="0"/>
        <w:snapToGrid w:val="0"/>
        <w:spacing w:line="360" w:lineRule="auto"/>
        <w:ind w:firstLine="480" w:firstLineChars="200"/>
        <w:rPr>
          <w:rFonts w:ascii="宋体" w:hAnsi="宋体" w:cs="宋体"/>
          <w:sz w:val="24"/>
        </w:rPr>
      </w:pPr>
      <w:r>
        <w:rPr>
          <w:rFonts w:hint="eastAsia" w:ascii="宋体" w:hAnsi="宋体" w:cs="宋体"/>
          <w:sz w:val="24"/>
        </w:rPr>
        <w:t>6</w:t>
      </w:r>
      <w:r>
        <w:rPr>
          <w:rFonts w:ascii="宋体" w:hAnsi="宋体" w:cs="宋体"/>
          <w:sz w:val="24"/>
        </w:rPr>
        <w:t>.</w:t>
      </w:r>
      <w:r>
        <w:rPr>
          <w:rFonts w:hint="eastAsia" w:ascii="宋体" w:hAnsi="宋体" w:cs="宋体"/>
          <w:sz w:val="24"/>
        </w:rPr>
        <w:t xml:space="preserve"> 泄密责任：任何一方违反保密义务</w:t>
      </w:r>
      <w:r>
        <w:rPr>
          <w:rFonts w:hint="eastAsia" w:ascii="宋体" w:hAnsi="宋体" w:cs="宋体"/>
          <w:sz w:val="24"/>
          <w:lang w:eastAsia="zh-CN"/>
        </w:rPr>
        <w:t>，</w:t>
      </w:r>
      <w:r>
        <w:rPr>
          <w:rFonts w:hint="eastAsia" w:ascii="宋体" w:hAnsi="宋体" w:cs="宋体"/>
          <w:sz w:val="24"/>
        </w:rPr>
        <w:t>违约方应向守约方支付金额为合同总价</w:t>
      </w:r>
      <w:r>
        <w:rPr>
          <w:rFonts w:ascii="宋体" w:hAnsi="宋体" w:cs="宋体"/>
          <w:sz w:val="24"/>
        </w:rPr>
        <w:t>20%</w:t>
      </w:r>
      <w:r>
        <w:rPr>
          <w:rFonts w:hint="eastAsia" w:ascii="宋体" w:hAnsi="宋体" w:cs="宋体"/>
          <w:sz w:val="24"/>
        </w:rPr>
        <w:t>的违约金，并赔偿守约方一切损失。申办者为守约方的，试验机构还应退还申办者已支付的所有款项。</w:t>
      </w:r>
    </w:p>
    <w:p w14:paraId="55B8A129">
      <w:pPr>
        <w:adjustRightInd w:val="0"/>
        <w:snapToGrid w:val="0"/>
        <w:spacing w:line="360" w:lineRule="auto"/>
        <w:ind w:firstLine="480" w:firstLineChars="200"/>
        <w:rPr>
          <w:rFonts w:ascii="宋体" w:hAnsi="宋体" w:cs="宋体"/>
          <w:sz w:val="24"/>
        </w:rPr>
      </w:pPr>
      <w:r>
        <w:rPr>
          <w:rFonts w:hint="eastAsia" w:ascii="宋体" w:hAnsi="宋体" w:cs="宋体"/>
          <w:sz w:val="24"/>
        </w:rPr>
        <w:t>7</w:t>
      </w:r>
      <w:r>
        <w:rPr>
          <w:rFonts w:ascii="宋体" w:hAnsi="宋体" w:cs="宋体"/>
          <w:sz w:val="24"/>
        </w:rPr>
        <w:t xml:space="preserve">. </w:t>
      </w:r>
      <w:r>
        <w:rPr>
          <w:rFonts w:hint="eastAsia" w:ascii="宋体" w:hAnsi="宋体" w:cs="宋体"/>
          <w:sz w:val="24"/>
        </w:rPr>
        <w:t>保密义务为不可撤销条款，并不因本合同的解除、终止、撤销、无效或不成立而免除或失效。</w:t>
      </w:r>
    </w:p>
    <w:p w14:paraId="0641A4A4">
      <w:pPr>
        <w:pStyle w:val="2"/>
      </w:pPr>
      <w:r>
        <w:rPr>
          <w:rFonts w:hint="eastAsia"/>
        </w:rPr>
        <w:t>九.保险及赔偿</w:t>
      </w:r>
    </w:p>
    <w:p w14:paraId="4319019E">
      <w:pPr>
        <w:pStyle w:val="19"/>
        <w:tabs>
          <w:tab w:val="left" w:pos="900"/>
        </w:tabs>
        <w:adjustRightInd w:val="0"/>
        <w:snapToGrid w:val="0"/>
        <w:spacing w:line="360" w:lineRule="auto"/>
        <w:ind w:firstLine="480"/>
        <w:rPr>
          <w:rFonts w:ascii="Times New Roman" w:hAnsi="Times New Roman" w:cs="宋体"/>
          <w:kern w:val="0"/>
          <w:sz w:val="24"/>
          <w:szCs w:val="24"/>
        </w:rPr>
      </w:pPr>
      <w:r>
        <w:rPr>
          <w:rFonts w:hint="eastAsia" w:ascii="Times New Roman" w:hAnsi="Times New Roman" w:cs="宋体"/>
          <w:sz w:val="24"/>
          <w:szCs w:val="24"/>
        </w:rPr>
        <w:t>1.如果研究对象以参与研究时遭受人身伤害或引发病症为由，而对乙方、主要研究者、任何合作研究者以及他们的受托人、职员、代理人和雇员（以下称“乙方受保护人”）提出的任何索赔、诉讼或做出的任何判决（以下称“索赔”），甲方同意承担赔偿责任、为其辩护，并使其免于承担任何法律责任、索赔、损害赔偿、损失或费用（包括律师费和诉讼费）。</w:t>
      </w:r>
    </w:p>
    <w:p w14:paraId="478B351D">
      <w:pPr>
        <w:pStyle w:val="19"/>
        <w:tabs>
          <w:tab w:val="left" w:pos="900"/>
        </w:tabs>
        <w:adjustRightInd w:val="0"/>
        <w:snapToGrid w:val="0"/>
        <w:spacing w:line="360" w:lineRule="auto"/>
        <w:ind w:firstLine="480"/>
        <w:rPr>
          <w:rFonts w:ascii="Times New Roman" w:hAnsi="Times New Roman" w:cs="宋体"/>
          <w:kern w:val="0"/>
          <w:sz w:val="24"/>
          <w:szCs w:val="24"/>
        </w:rPr>
      </w:pPr>
      <w:r>
        <w:rPr>
          <w:rFonts w:hint="eastAsia" w:ascii="Times New Roman" w:hAnsi="Times New Roman" w:cs="宋体"/>
          <w:kern w:val="0"/>
          <w:sz w:val="24"/>
          <w:szCs w:val="24"/>
        </w:rPr>
        <w:t>2.</w:t>
      </w:r>
      <w:r>
        <w:rPr>
          <w:rFonts w:hint="eastAsia" w:ascii="Times New Roman" w:hAnsi="Times New Roman" w:cs="宋体"/>
          <w:sz w:val="24"/>
          <w:szCs w:val="24"/>
        </w:rPr>
        <w:t>甲方应确认其已经按照法律规定就其责任投保了一份临床试验责任险，需向乙方提供该保险单。但购买保险并不能取代甲方在承担试验相关损害及发生与试验相关纠纷时及时、有效履行赔付的主体责任。如果甲方购买的保险不足以承担受试者补偿或赔偿，则应由甲方负责保险之外的继续或后续补偿或赔偿。如果该研究甲方未投保临床试验责任险，则发生的一切法律责任、纠纷、损害赔偿、索赔以及相关费用（例如律师费、诉讼费等）由甲方全部承担。</w:t>
      </w:r>
    </w:p>
    <w:p w14:paraId="220CEB68">
      <w:pPr>
        <w:pStyle w:val="19"/>
        <w:tabs>
          <w:tab w:val="left" w:pos="900"/>
        </w:tabs>
        <w:adjustRightInd w:val="0"/>
        <w:snapToGrid w:val="0"/>
        <w:spacing w:line="360" w:lineRule="auto"/>
        <w:ind w:firstLine="480"/>
        <w:rPr>
          <w:rFonts w:ascii="Times New Roman" w:hAnsi="Times New Roman" w:cs="宋体"/>
          <w:kern w:val="0"/>
          <w:sz w:val="24"/>
          <w:szCs w:val="24"/>
        </w:rPr>
      </w:pPr>
      <w:r>
        <w:rPr>
          <w:rFonts w:hint="eastAsia" w:ascii="Times New Roman" w:hAnsi="Times New Roman" w:cs="宋体"/>
          <w:kern w:val="0"/>
          <w:sz w:val="24"/>
          <w:szCs w:val="24"/>
        </w:rPr>
        <w:t>3.甲方负责为乙方医疗机构及乙方研究者提供法律上</w:t>
      </w:r>
      <w:r>
        <w:rPr>
          <w:rFonts w:hint="eastAsia" w:ascii="Times New Roman" w:hAnsi="Times New Roman" w:cs="宋体"/>
          <w:kern w:val="0"/>
          <w:sz w:val="24"/>
          <w:szCs w:val="24"/>
          <w:lang w:val="en-US" w:eastAsia="zh-Hans"/>
        </w:rPr>
        <w:t>的支撑</w:t>
      </w:r>
      <w:r>
        <w:rPr>
          <w:rFonts w:hint="eastAsia" w:ascii="Times New Roman" w:hAnsi="Times New Roman" w:cs="宋体"/>
          <w:kern w:val="0"/>
          <w:sz w:val="24"/>
          <w:szCs w:val="24"/>
        </w:rPr>
        <w:t>与经济上的</w:t>
      </w:r>
      <w:r>
        <w:rPr>
          <w:rFonts w:hint="eastAsia" w:ascii="Times New Roman" w:hAnsi="Times New Roman" w:cs="宋体"/>
          <w:kern w:val="0"/>
          <w:sz w:val="24"/>
          <w:szCs w:val="24"/>
          <w:lang w:val="en-US" w:eastAsia="zh-Hans"/>
        </w:rPr>
        <w:t>支出</w:t>
      </w:r>
      <w:r>
        <w:rPr>
          <w:rFonts w:hint="eastAsia" w:ascii="Times New Roman" w:hAnsi="Times New Roman" w:cs="宋体"/>
          <w:kern w:val="0"/>
          <w:sz w:val="24"/>
          <w:szCs w:val="24"/>
        </w:rPr>
        <w:t>。对发生与试验相关的损害（包括受试者损害、乙方医疗机构和研究者的损害）和纠纷，甲方负责承担全部责任，包括</w:t>
      </w:r>
      <w:r>
        <w:rPr>
          <w:rFonts w:hint="eastAsia" w:ascii="Times New Roman" w:hAnsi="Times New Roman" w:cs="宋体"/>
          <w:kern w:val="0"/>
          <w:sz w:val="24"/>
          <w:szCs w:val="24"/>
          <w:lang w:val="en-US" w:eastAsia="zh-Hans"/>
        </w:rPr>
        <w:t>因造成损害产生的</w:t>
      </w:r>
      <w:r>
        <w:rPr>
          <w:rFonts w:hint="eastAsia" w:ascii="Times New Roman" w:hAnsi="Times New Roman" w:cs="宋体"/>
          <w:kern w:val="0"/>
          <w:sz w:val="24"/>
          <w:szCs w:val="24"/>
        </w:rPr>
        <w:t>治疗费用</w:t>
      </w:r>
      <w:r>
        <w:rPr>
          <w:rFonts w:hint="eastAsia" w:ascii="Times New Roman" w:hAnsi="Times New Roman" w:cs="宋体"/>
          <w:kern w:val="0"/>
          <w:sz w:val="24"/>
          <w:szCs w:val="24"/>
          <w:lang w:val="en-US" w:eastAsia="zh-Hans"/>
        </w:rPr>
        <w:t>等相关赔偿费</w:t>
      </w:r>
      <w:r>
        <w:rPr>
          <w:rFonts w:hint="eastAsia" w:ascii="Times New Roman" w:hAnsi="Times New Roman" w:cs="宋体"/>
          <w:kern w:val="0"/>
          <w:sz w:val="24"/>
          <w:szCs w:val="24"/>
        </w:rPr>
        <w:t>及相应的经济补偿。</w:t>
      </w:r>
    </w:p>
    <w:p w14:paraId="7B914B96">
      <w:pPr>
        <w:pStyle w:val="19"/>
        <w:tabs>
          <w:tab w:val="left" w:pos="900"/>
        </w:tabs>
        <w:adjustRightInd w:val="0"/>
        <w:snapToGrid w:val="0"/>
        <w:spacing w:line="360" w:lineRule="auto"/>
        <w:ind w:firstLine="480"/>
        <w:rPr>
          <w:rFonts w:ascii="Times New Roman" w:hAnsi="Times New Roman" w:cs="宋体"/>
          <w:sz w:val="24"/>
          <w:szCs w:val="24"/>
        </w:rPr>
      </w:pPr>
      <w:r>
        <w:rPr>
          <w:rFonts w:hint="eastAsia" w:ascii="Times New Roman" w:hAnsi="Times New Roman" w:cs="宋体"/>
          <w:sz w:val="24"/>
          <w:szCs w:val="24"/>
        </w:rPr>
        <w:t>4.</w:t>
      </w:r>
      <w:bookmarkStart w:id="0" w:name="OLE_LINK1"/>
      <w:r>
        <w:rPr>
          <w:rFonts w:hint="eastAsia" w:ascii="Times New Roman" w:hAnsi="Times New Roman" w:cs="宋体"/>
          <w:sz w:val="24"/>
          <w:szCs w:val="24"/>
        </w:rPr>
        <w:t>对于放入或植入或使用于体内而不取出或若干年后再从体内取出的药物，待试验结束若干年后或更长时间出现有关的不良反应所引起的责任</w:t>
      </w:r>
      <w:bookmarkEnd w:id="0"/>
      <w:bookmarkStart w:id="1" w:name="_GoBack"/>
      <w:r>
        <w:rPr>
          <w:rFonts w:hint="eastAsia" w:ascii="Times New Roman" w:hAnsi="Times New Roman" w:cs="宋体"/>
          <w:sz w:val="24"/>
          <w:szCs w:val="24"/>
        </w:rPr>
        <w:t>（包括经济和法律等责任）均由申办方承担；如果符合本条款的临床试验，本协议永久有效</w:t>
      </w:r>
      <w:r>
        <w:rPr>
          <w:rFonts w:hint="eastAsia" w:ascii="Times New Roman" w:hAnsi="Times New Roman" w:cs="宋体"/>
          <w:sz w:val="24"/>
          <w:szCs w:val="24"/>
        </w:rPr>
        <w:t>。</w:t>
      </w:r>
      <w:bookmarkEnd w:id="1"/>
    </w:p>
    <w:p w14:paraId="5B9CB0B6">
      <w:pPr>
        <w:pStyle w:val="19"/>
        <w:tabs>
          <w:tab w:val="left" w:pos="900"/>
        </w:tabs>
        <w:adjustRightInd w:val="0"/>
        <w:snapToGrid w:val="0"/>
        <w:spacing w:line="360" w:lineRule="auto"/>
        <w:ind w:firstLine="480"/>
        <w:rPr>
          <w:rFonts w:ascii="Times New Roman" w:hAnsi="Times New Roman" w:cs="宋体"/>
          <w:sz w:val="24"/>
          <w:szCs w:val="24"/>
        </w:rPr>
      </w:pPr>
      <w:r>
        <w:rPr>
          <w:rFonts w:hint="eastAsia" w:ascii="Times New Roman" w:hAnsi="Times New Roman" w:cs="宋体"/>
          <w:sz w:val="24"/>
          <w:szCs w:val="24"/>
        </w:rPr>
        <w:t>5.甲方应与研究者一起迅速对试验所发生的不良事件和严重不良事件采取必要的措施，包括但不限于：</w:t>
      </w:r>
    </w:p>
    <w:p w14:paraId="3E8584D1">
      <w:pPr>
        <w:adjustRightInd w:val="0"/>
        <w:snapToGrid w:val="0"/>
        <w:spacing w:line="360" w:lineRule="auto"/>
        <w:ind w:firstLine="480" w:firstLineChars="200"/>
        <w:rPr>
          <w:rFonts w:cs="宋体"/>
          <w:sz w:val="24"/>
        </w:rPr>
      </w:pPr>
      <w:r>
        <w:rPr>
          <w:rFonts w:hint="eastAsia" w:cs="宋体"/>
          <w:sz w:val="24"/>
        </w:rPr>
        <w:t>1）不良事件和严重不良事件是否与试验相关由研究者判定。经研究者初步判断不良事件不能确定与临床试验不相关的，甲方应先行垫付受试者相关的治疗费用，以保证受试者的安全和权益。</w:t>
      </w:r>
    </w:p>
    <w:p w14:paraId="6AD622DA">
      <w:pPr>
        <w:adjustRightInd w:val="0"/>
        <w:snapToGrid w:val="0"/>
        <w:spacing w:line="360" w:lineRule="auto"/>
        <w:ind w:firstLine="480" w:firstLineChars="200"/>
        <w:rPr>
          <w:rFonts w:cs="宋体"/>
          <w:sz w:val="24"/>
        </w:rPr>
      </w:pPr>
      <w:r>
        <w:rPr>
          <w:rFonts w:hint="eastAsia" w:cs="宋体"/>
          <w:sz w:val="24"/>
        </w:rPr>
        <w:t>2）如果出现与试验相关的不良事件或严重不良事件，研究者应及时处理并随访到不良事件或严重不良事件消失、正常或转归，甲方应支付受试者因不良事件或严重不良事件产生的治疗费、化验检查费等全部相关费用，并按照相关法律规定给予受试者合理的经济补偿。如果出现诉讼，由甲方承担责任，但判决结果明确为乙方过错导致受试者损害的除外。</w:t>
      </w:r>
    </w:p>
    <w:p w14:paraId="230EEA75">
      <w:pPr>
        <w:adjustRightInd w:val="0"/>
        <w:snapToGrid w:val="0"/>
        <w:spacing w:line="360" w:lineRule="auto"/>
        <w:ind w:firstLine="480" w:firstLineChars="200"/>
        <w:rPr>
          <w:rFonts w:cs="宋体"/>
          <w:sz w:val="24"/>
        </w:rPr>
      </w:pPr>
      <w:r>
        <w:rPr>
          <w:rFonts w:hint="eastAsia" w:cs="宋体"/>
          <w:sz w:val="24"/>
        </w:rPr>
        <w:t>6.一旦发生受试者或研究者损害的赔偿或诉讼，乙方应立即通知甲方，甲方必须（甲方若为申办方则由申办方，甲方若为CRO公司则由CRO通知申办方）立即委托专人（律师或其他）全权处理索赔或赔偿或诉讼事宜，研究机构或研究者允许并同意给予甲方相关的合理协助。</w:t>
      </w:r>
    </w:p>
    <w:p w14:paraId="4EE5B622">
      <w:pPr>
        <w:adjustRightInd w:val="0"/>
        <w:snapToGrid w:val="0"/>
        <w:spacing w:line="360" w:lineRule="auto"/>
        <w:ind w:firstLine="480" w:firstLineChars="200"/>
        <w:rPr>
          <w:rFonts w:cs="宋体"/>
          <w:sz w:val="24"/>
        </w:rPr>
      </w:pPr>
      <w:r>
        <w:rPr>
          <w:rFonts w:hint="eastAsia" w:cs="宋体"/>
          <w:sz w:val="24"/>
        </w:rPr>
        <w:t>7.若因试验方案或其他甲方提供的资料设计本身有缺陷或违反相关规范而导致受试者损害也全部由甲方承担。</w:t>
      </w:r>
    </w:p>
    <w:p w14:paraId="6F4E6217">
      <w:pPr>
        <w:adjustRightInd w:val="0"/>
        <w:snapToGrid w:val="0"/>
        <w:spacing w:line="360" w:lineRule="auto"/>
        <w:ind w:firstLine="480" w:firstLineChars="200"/>
        <w:rPr>
          <w:rFonts w:cs="宋体"/>
          <w:sz w:val="24"/>
        </w:rPr>
      </w:pPr>
      <w:r>
        <w:rPr>
          <w:rFonts w:hint="eastAsia" w:cs="宋体"/>
          <w:sz w:val="24"/>
        </w:rPr>
        <w:t>8.如果在受试者或研究者损害需要赔偿或诉讼的过程中出现法律或司法部门认定存在“无过错责任”时，该无过错责任的赔偿由甲方承担。</w:t>
      </w:r>
    </w:p>
    <w:p w14:paraId="528967E8">
      <w:pPr>
        <w:adjustRightInd w:val="0"/>
        <w:snapToGrid w:val="0"/>
        <w:spacing w:line="360" w:lineRule="auto"/>
        <w:ind w:firstLine="480" w:firstLineChars="200"/>
        <w:rPr>
          <w:rFonts w:cs="宋体"/>
          <w:sz w:val="24"/>
        </w:rPr>
      </w:pPr>
      <w:r>
        <w:rPr>
          <w:rFonts w:hint="eastAsia" w:cs="宋体"/>
          <w:sz w:val="24"/>
        </w:rPr>
        <w:t>9.如因乙方主要研究者和其他的试验参与者等相关人员在临床试验中出现医疗事故，或未遵从临床试验方案，或违背现行NMPA的法律法规，导致的受试者损害或其他损害，经司法部门、仲裁部门认定需要乙方承担责任的，由乙方承担。</w:t>
      </w:r>
    </w:p>
    <w:p w14:paraId="71BE9C69">
      <w:pPr>
        <w:adjustRightInd w:val="0"/>
        <w:snapToGrid w:val="0"/>
        <w:spacing w:line="360" w:lineRule="auto"/>
        <w:ind w:firstLine="480" w:firstLineChars="200"/>
        <w:rPr>
          <w:rFonts w:cs="宋体"/>
          <w:sz w:val="24"/>
        </w:rPr>
      </w:pPr>
      <w:r>
        <w:rPr>
          <w:rFonts w:hint="eastAsia" w:cs="宋体"/>
          <w:sz w:val="24"/>
        </w:rPr>
        <w:t>1</w:t>
      </w:r>
      <w:r>
        <w:rPr>
          <w:rFonts w:hint="eastAsia" w:cs="宋体"/>
          <w:sz w:val="24"/>
          <w:lang w:val="en-US" w:eastAsia="zh-CN"/>
        </w:rPr>
        <w:t>0</w:t>
      </w:r>
      <w:r>
        <w:rPr>
          <w:rFonts w:hint="eastAsia" w:cs="宋体"/>
          <w:sz w:val="24"/>
        </w:rPr>
        <w:t>.本条款下的义务在本临床试验终止后继续有效。</w:t>
      </w:r>
    </w:p>
    <w:p w14:paraId="33A11133">
      <w:pPr>
        <w:pStyle w:val="2"/>
      </w:pPr>
      <w:r>
        <w:rPr>
          <w:rFonts w:hint="eastAsia"/>
        </w:rPr>
        <w:t>十.生物样本的管理</w:t>
      </w:r>
    </w:p>
    <w:p w14:paraId="367F055B">
      <w:pPr>
        <w:adjustRightInd w:val="0"/>
        <w:snapToGrid w:val="0"/>
        <w:spacing w:line="360" w:lineRule="auto"/>
        <w:ind w:firstLine="480" w:firstLineChars="200"/>
        <w:rPr>
          <w:rFonts w:cs="宋体"/>
          <w:sz w:val="24"/>
        </w:rPr>
      </w:pPr>
      <w:r>
        <w:rPr>
          <w:rFonts w:hint="eastAsia" w:cs="宋体"/>
          <w:sz w:val="24"/>
        </w:rPr>
        <w:t>1.生物样本的采集和储存只限于临床试验方案中规定的样本，且只允许根据方案的要求进行检测，不允许任何一方对生物样本另行处理与另行检测，或用于其他相关研究，或以此试验为契机建立样本库，否则一切责任由违约方负责。</w:t>
      </w:r>
    </w:p>
    <w:p w14:paraId="2EAE4BA7">
      <w:pPr>
        <w:adjustRightInd w:val="0"/>
        <w:snapToGrid w:val="0"/>
        <w:spacing w:line="360" w:lineRule="auto"/>
        <w:ind w:firstLine="480" w:firstLineChars="200"/>
        <w:rPr>
          <w:rFonts w:cs="宋体"/>
          <w:sz w:val="24"/>
        </w:rPr>
      </w:pPr>
      <w:r>
        <w:rPr>
          <w:rFonts w:hint="eastAsia" w:cs="宋体"/>
          <w:sz w:val="24"/>
        </w:rPr>
        <w:t>2.生物样本只允许在各临床试验机构实验室、该试验组长单位实验室或卫健委认可的其他实验室（需提供该实验室的资质和卫健委认可的室间质控证明等资质合格证书）进行生物样本的检测。凡是涉及国际合作的临床试验项目的标本，需要到科技部人类遗传办办理审批后方可开始启动。</w:t>
      </w:r>
    </w:p>
    <w:p w14:paraId="0A502E6F">
      <w:pPr>
        <w:adjustRightInd w:val="0"/>
        <w:snapToGrid w:val="0"/>
        <w:spacing w:line="360" w:lineRule="auto"/>
        <w:ind w:firstLine="480" w:firstLineChars="200"/>
        <w:rPr>
          <w:rFonts w:cs="宋体"/>
          <w:sz w:val="24"/>
        </w:rPr>
      </w:pPr>
      <w:r>
        <w:rPr>
          <w:rFonts w:hint="eastAsia" w:cs="宋体"/>
          <w:sz w:val="24"/>
        </w:rPr>
        <w:t>3.如果生物样本需要运输到国外进行检测时，必须首先得到卫健委、海关等相关主管部门的批准，并将相关批准文件加盖单位公章后递交我院药物临床试验机构和伦理委员会备案，并经机构和伦理委员会批准后方可实施。</w:t>
      </w:r>
    </w:p>
    <w:p w14:paraId="4E6E17C9">
      <w:pPr>
        <w:pStyle w:val="2"/>
      </w:pPr>
      <w:r>
        <w:rPr>
          <w:rFonts w:hint="eastAsia"/>
        </w:rPr>
        <w:t>十一.争议与违约处理方法</w:t>
      </w:r>
    </w:p>
    <w:p w14:paraId="25AF3494">
      <w:pPr>
        <w:adjustRightInd w:val="0"/>
        <w:snapToGrid w:val="0"/>
        <w:spacing w:line="360" w:lineRule="auto"/>
        <w:ind w:firstLine="480" w:firstLineChars="200"/>
        <w:rPr>
          <w:rFonts w:cs="宋体"/>
          <w:sz w:val="24"/>
        </w:rPr>
      </w:pPr>
      <w:r>
        <w:rPr>
          <w:rFonts w:hint="eastAsia" w:cs="宋体"/>
          <w:sz w:val="24"/>
        </w:rPr>
        <w:t>1.若甲方未按本合同规定的时间和金额付款，或未按规定的时间提供临床试验用药物及相关设备物资，乙方有权将合同规定之完成期限相应顺延，顺延以三个月为期，若延期超过三个月乙方有权终止合同。</w:t>
      </w:r>
    </w:p>
    <w:p w14:paraId="2181FD01">
      <w:pPr>
        <w:adjustRightInd w:val="0"/>
        <w:snapToGrid w:val="0"/>
        <w:spacing w:line="360" w:lineRule="auto"/>
        <w:ind w:firstLine="480" w:firstLineChars="200"/>
        <w:rPr>
          <w:rFonts w:cs="宋体"/>
          <w:sz w:val="24"/>
        </w:rPr>
      </w:pPr>
      <w:r>
        <w:rPr>
          <w:rFonts w:hint="eastAsia" w:cs="宋体"/>
          <w:sz w:val="24"/>
        </w:rPr>
        <w:t>2.如果该试验或验证产品存在侵犯知识产权或专利等其他问题由甲方负全部责任。</w:t>
      </w:r>
    </w:p>
    <w:p w14:paraId="7B65C428">
      <w:pPr>
        <w:adjustRightInd w:val="0"/>
        <w:snapToGrid w:val="0"/>
        <w:spacing w:line="360" w:lineRule="auto"/>
        <w:ind w:firstLine="480" w:firstLineChars="200"/>
        <w:rPr>
          <w:rFonts w:cs="宋体"/>
          <w:sz w:val="24"/>
        </w:rPr>
      </w:pPr>
      <w:r>
        <w:rPr>
          <w:rFonts w:hint="eastAsia" w:cs="宋体"/>
          <w:sz w:val="24"/>
        </w:rPr>
        <w:t>3.合同在甲乙双方商定定稿后，在合同签署期间，任何双方如有任何改动必须经另一方书面同意，如果任何一方私自改动而未经另一方书面同意，则由改动方负全部责任。</w:t>
      </w:r>
    </w:p>
    <w:p w14:paraId="11968D0A">
      <w:pPr>
        <w:adjustRightInd w:val="0"/>
        <w:snapToGrid w:val="0"/>
        <w:spacing w:line="360" w:lineRule="auto"/>
        <w:ind w:firstLine="480" w:firstLineChars="200"/>
        <w:rPr>
          <w:rFonts w:cs="宋体"/>
          <w:sz w:val="24"/>
        </w:rPr>
      </w:pPr>
      <w:r>
        <w:rPr>
          <w:rFonts w:hint="eastAsia" w:cs="宋体"/>
          <w:sz w:val="24"/>
        </w:rPr>
        <w:t>4.双方应信守合同，若有争议，双方协商解决。经协商仍不能达成一致意见的，任何一方可向研究机构所在地人民法院提起诉讼。</w:t>
      </w:r>
    </w:p>
    <w:p w14:paraId="16BA2EBD">
      <w:pPr>
        <w:adjustRightInd w:val="0"/>
        <w:snapToGrid w:val="0"/>
        <w:spacing w:line="360" w:lineRule="auto"/>
        <w:ind w:firstLine="480" w:firstLineChars="200"/>
        <w:rPr>
          <w:rFonts w:hint="eastAsia" w:ascii="宋体" w:hAnsi="宋体" w:cs="宋体"/>
          <w:sz w:val="24"/>
        </w:rPr>
      </w:pPr>
      <w:r>
        <w:rPr>
          <w:rFonts w:hint="eastAsia" w:ascii="宋体" w:hAnsi="宋体" w:cs="宋体"/>
          <w:sz w:val="24"/>
        </w:rPr>
        <w:t>5</w:t>
      </w:r>
      <w:r>
        <w:rPr>
          <w:rFonts w:ascii="宋体" w:hAnsi="宋体" w:cs="宋体"/>
          <w:sz w:val="24"/>
        </w:rPr>
        <w:t>.</w:t>
      </w:r>
      <w:r>
        <w:rPr>
          <w:rFonts w:hint="eastAsia" w:ascii="宋体" w:hAnsi="宋体" w:cs="宋体"/>
          <w:sz w:val="24"/>
        </w:rPr>
        <w:t>任何一方不履行本合同或延迟履行本合同约定的任何义务、保证或承诺的，守约方有权要求违约方限期纠正；违约方在限期内未纠正、拒不纠正或纠正不符合本合同约定的，构成根本违约，违约方应向守约方支付合同总额</w:t>
      </w:r>
      <w:r>
        <w:rPr>
          <w:rFonts w:ascii="宋体" w:hAnsi="宋体" w:cs="宋体"/>
          <w:sz w:val="24"/>
        </w:rPr>
        <w:t>20%</w:t>
      </w:r>
      <w:r>
        <w:rPr>
          <w:rFonts w:hint="eastAsia" w:ascii="宋体" w:hAnsi="宋体" w:cs="宋体"/>
          <w:sz w:val="24"/>
        </w:rPr>
        <w:t>的违约金。如果根本违约方为试验机构，申办者有权单方解除本合同并要求试验机构按照本条约定承担违约责任。</w:t>
      </w:r>
    </w:p>
    <w:p w14:paraId="3BB484CD">
      <w:pPr>
        <w:adjustRightInd w:val="0"/>
        <w:snapToGrid w:val="0"/>
        <w:spacing w:line="360" w:lineRule="auto"/>
        <w:ind w:firstLine="480" w:firstLineChars="200"/>
        <w:rPr>
          <w:rFonts w:hint="default" w:ascii="宋体" w:hAnsi="宋体" w:eastAsia="宋体" w:cs="宋体"/>
          <w:sz w:val="24"/>
          <w:lang w:eastAsia="zh-Hans"/>
        </w:rPr>
      </w:pPr>
      <w:r>
        <w:rPr>
          <w:rFonts w:hint="default" w:ascii="宋体" w:hAnsi="宋体" w:cs="宋体"/>
          <w:sz w:val="24"/>
        </w:rPr>
        <w:t>6</w:t>
      </w:r>
      <w:r>
        <w:rPr>
          <w:rFonts w:hint="eastAsia" w:ascii="宋体" w:hAnsi="宋体" w:cs="宋体"/>
          <w:sz w:val="24"/>
          <w:lang w:val="en-US" w:eastAsia="zh-Hans"/>
        </w:rPr>
        <w:t>.因本合同之纠纷</w:t>
      </w:r>
      <w:r>
        <w:rPr>
          <w:rFonts w:hint="default" w:ascii="宋体" w:hAnsi="宋体" w:cs="宋体"/>
          <w:sz w:val="24"/>
          <w:lang w:eastAsia="zh-Hans"/>
        </w:rPr>
        <w:t>，</w:t>
      </w:r>
      <w:r>
        <w:rPr>
          <w:rFonts w:hint="eastAsia" w:ascii="宋体" w:hAnsi="宋体" w:cs="宋体"/>
          <w:sz w:val="24"/>
          <w:lang w:val="en-US" w:eastAsia="zh-Hans"/>
        </w:rPr>
        <w:t>违约方须向守约方支付其因此而支出的诉讼费</w:t>
      </w:r>
      <w:r>
        <w:rPr>
          <w:rFonts w:hint="default" w:ascii="宋体" w:hAnsi="宋体" w:cs="宋体"/>
          <w:sz w:val="24"/>
          <w:lang w:eastAsia="zh-Hans"/>
        </w:rPr>
        <w:t>、</w:t>
      </w:r>
      <w:r>
        <w:rPr>
          <w:rFonts w:hint="eastAsia" w:ascii="宋体" w:hAnsi="宋体" w:cs="宋体"/>
          <w:sz w:val="24"/>
          <w:lang w:val="en-US" w:eastAsia="zh-Hans"/>
        </w:rPr>
        <w:t>律师费</w:t>
      </w:r>
      <w:r>
        <w:rPr>
          <w:rFonts w:hint="default" w:ascii="宋体" w:hAnsi="宋体" w:cs="宋体"/>
          <w:sz w:val="24"/>
          <w:lang w:eastAsia="zh-Hans"/>
        </w:rPr>
        <w:t>、</w:t>
      </w:r>
      <w:r>
        <w:rPr>
          <w:rFonts w:hint="eastAsia" w:ascii="宋体" w:hAnsi="宋体" w:cs="宋体"/>
          <w:sz w:val="24"/>
          <w:lang w:val="en-US" w:eastAsia="zh-Hans"/>
        </w:rPr>
        <w:t>鉴定费</w:t>
      </w:r>
      <w:r>
        <w:rPr>
          <w:rFonts w:hint="default" w:ascii="宋体" w:hAnsi="宋体" w:cs="宋体"/>
          <w:sz w:val="24"/>
          <w:lang w:eastAsia="zh-Hans"/>
        </w:rPr>
        <w:t>、</w:t>
      </w:r>
      <w:r>
        <w:rPr>
          <w:rFonts w:hint="eastAsia" w:ascii="宋体" w:hAnsi="宋体" w:cs="宋体"/>
          <w:sz w:val="24"/>
          <w:lang w:val="en-US" w:eastAsia="zh-Hans"/>
        </w:rPr>
        <w:t>保全费</w:t>
      </w:r>
      <w:r>
        <w:rPr>
          <w:rFonts w:hint="default" w:ascii="宋体" w:hAnsi="宋体" w:cs="宋体"/>
          <w:sz w:val="24"/>
          <w:lang w:eastAsia="zh-Hans"/>
        </w:rPr>
        <w:t>、</w:t>
      </w:r>
      <w:r>
        <w:rPr>
          <w:rFonts w:hint="eastAsia" w:ascii="宋体" w:hAnsi="宋体" w:cs="宋体"/>
          <w:sz w:val="24"/>
          <w:lang w:val="en-US" w:eastAsia="zh-Hans"/>
        </w:rPr>
        <w:t>公证费</w:t>
      </w:r>
      <w:r>
        <w:rPr>
          <w:rFonts w:hint="default" w:ascii="宋体" w:hAnsi="宋体" w:cs="宋体"/>
          <w:sz w:val="24"/>
          <w:lang w:eastAsia="zh-Hans"/>
        </w:rPr>
        <w:t>、</w:t>
      </w:r>
      <w:r>
        <w:rPr>
          <w:rFonts w:hint="eastAsia" w:ascii="宋体" w:hAnsi="宋体" w:cs="宋体"/>
          <w:sz w:val="24"/>
          <w:lang w:val="en-US" w:eastAsia="zh-Hans"/>
        </w:rPr>
        <w:t>交通费等合理费用</w:t>
      </w:r>
      <w:r>
        <w:rPr>
          <w:rFonts w:hint="default" w:ascii="宋体" w:hAnsi="宋体" w:cs="宋体"/>
          <w:sz w:val="24"/>
          <w:lang w:eastAsia="zh-Hans"/>
        </w:rPr>
        <w:t>。</w:t>
      </w:r>
    </w:p>
    <w:p w14:paraId="0C329416">
      <w:pPr>
        <w:pStyle w:val="2"/>
      </w:pPr>
      <w:r>
        <w:rPr>
          <w:rFonts w:hint="eastAsia"/>
        </w:rPr>
        <w:t>十二.合同变更及其他有关事项</w:t>
      </w:r>
    </w:p>
    <w:p w14:paraId="3200D577">
      <w:pPr>
        <w:adjustRightInd w:val="0"/>
        <w:snapToGrid w:val="0"/>
        <w:spacing w:line="360" w:lineRule="auto"/>
        <w:ind w:firstLine="480" w:firstLineChars="200"/>
        <w:rPr>
          <w:rFonts w:cs="宋体"/>
          <w:sz w:val="24"/>
        </w:rPr>
      </w:pPr>
      <w:r>
        <w:rPr>
          <w:rFonts w:hint="eastAsia" w:cs="宋体"/>
          <w:sz w:val="24"/>
        </w:rPr>
        <w:t>1.任何一方不得擅自更改合同。若确需更改，须征得对方书面同意。</w:t>
      </w:r>
    </w:p>
    <w:p w14:paraId="7687E7F3">
      <w:pPr>
        <w:adjustRightInd w:val="0"/>
        <w:snapToGrid w:val="0"/>
        <w:spacing w:line="360" w:lineRule="auto"/>
        <w:ind w:firstLine="480" w:firstLineChars="200"/>
        <w:rPr>
          <w:rFonts w:cs="宋体"/>
          <w:sz w:val="24"/>
        </w:rPr>
      </w:pPr>
      <w:r>
        <w:rPr>
          <w:rFonts w:hint="eastAsia" w:cs="宋体"/>
          <w:sz w:val="24"/>
        </w:rPr>
        <w:t>2.如因甲方原因提前终止试验，应付款额按终止时已入选的病例数决定；如果由乙方原因提前终止试验，应付款项金额双方协商解决。</w:t>
      </w:r>
    </w:p>
    <w:p w14:paraId="112FF661">
      <w:pPr>
        <w:adjustRightInd w:val="0"/>
        <w:snapToGrid w:val="0"/>
        <w:spacing w:line="360" w:lineRule="auto"/>
        <w:ind w:firstLine="480" w:firstLineChars="200"/>
        <w:rPr>
          <w:rFonts w:cs="宋体"/>
          <w:sz w:val="24"/>
        </w:rPr>
      </w:pPr>
      <w:r>
        <w:rPr>
          <w:rFonts w:hint="eastAsia" w:cs="宋体"/>
          <w:sz w:val="24"/>
        </w:rPr>
        <w:t>3.任何一方因不可抗力如水灾、火灾或者其他自然灾害、事故、战争、暴乱、运输延迟、无法获得材料、电力或自然资源供应中断、法案、禁令、政府管制或其他不可抗力的影响不能履行其有关部分义务时，应免除其相关责任。无论是否出现类似的或者与上述不同的情况，或出现超出当事方合理控制范围的其他原因，当事方应做出一切可能的努力，以消除、阻止或克服该事件，并尽快恢复履行其义务。</w:t>
      </w:r>
    </w:p>
    <w:p w14:paraId="03E9DE02">
      <w:pPr>
        <w:adjustRightInd w:val="0"/>
        <w:snapToGrid w:val="0"/>
        <w:spacing w:line="360" w:lineRule="auto"/>
        <w:ind w:firstLine="480" w:firstLineChars="200"/>
        <w:rPr>
          <w:rFonts w:cs="宋体"/>
          <w:sz w:val="24"/>
        </w:rPr>
      </w:pPr>
      <w:r>
        <w:rPr>
          <w:rFonts w:hint="eastAsia" w:cs="宋体"/>
          <w:sz w:val="24"/>
        </w:rPr>
        <w:t>4.以上未尽事宜，由甲乙双方本着互助的诚意协商解决，或另订书面补充协议。</w:t>
      </w:r>
    </w:p>
    <w:p w14:paraId="1A24A29C">
      <w:pPr>
        <w:adjustRightInd w:val="0"/>
        <w:snapToGrid w:val="0"/>
        <w:spacing w:line="360" w:lineRule="auto"/>
        <w:ind w:firstLine="480" w:firstLineChars="200"/>
        <w:rPr>
          <w:rFonts w:hint="eastAsia" w:cs="宋体"/>
          <w:sz w:val="24"/>
        </w:rPr>
      </w:pPr>
      <w:r>
        <w:rPr>
          <w:rFonts w:hint="eastAsia" w:cs="宋体"/>
          <w:sz w:val="24"/>
        </w:rPr>
        <w:t>5、本合同中列明地址、联系电话，可作为各方送达往来函件、对账单、诉讼文书的有效联络地址。</w:t>
      </w:r>
    </w:p>
    <w:p w14:paraId="0FA5DD0B">
      <w:pPr>
        <w:pStyle w:val="2"/>
      </w:pPr>
      <w:r>
        <w:rPr>
          <w:rFonts w:hint="eastAsia"/>
        </w:rPr>
        <w:t>十三.合同生效</w:t>
      </w:r>
    </w:p>
    <w:p w14:paraId="53472068">
      <w:pPr>
        <w:adjustRightInd w:val="0"/>
        <w:snapToGrid w:val="0"/>
        <w:spacing w:line="360" w:lineRule="auto"/>
        <w:ind w:firstLine="480" w:firstLineChars="200"/>
        <w:rPr>
          <w:rFonts w:cs="宋体"/>
          <w:sz w:val="24"/>
        </w:rPr>
      </w:pPr>
      <w:r>
        <w:rPr>
          <w:rFonts w:hint="eastAsia" w:cs="宋体"/>
          <w:sz w:val="24"/>
        </w:rPr>
        <w:t>1.本合同以中文书写，一式</w:t>
      </w:r>
      <w:r>
        <w:rPr>
          <w:rFonts w:hint="eastAsia" w:cs="宋体"/>
          <w:sz w:val="24"/>
          <w:u w:val="single"/>
        </w:rPr>
        <w:t>陆</w:t>
      </w:r>
      <w:r>
        <w:rPr>
          <w:rFonts w:hint="eastAsia" w:cs="宋体"/>
          <w:sz w:val="24"/>
        </w:rPr>
        <w:t>份 ，甲方保留</w:t>
      </w:r>
      <w:r>
        <w:rPr>
          <w:rFonts w:hint="eastAsia" w:cs="宋体"/>
          <w:sz w:val="24"/>
          <w:u w:val="single"/>
        </w:rPr>
        <w:t>贰</w:t>
      </w:r>
      <w:r>
        <w:rPr>
          <w:rFonts w:hint="eastAsia" w:cs="宋体"/>
          <w:sz w:val="24"/>
        </w:rPr>
        <w:t>份，乙方保留</w:t>
      </w:r>
      <w:r>
        <w:rPr>
          <w:rFonts w:hint="eastAsia" w:cs="宋体"/>
          <w:sz w:val="24"/>
          <w:u w:val="single"/>
        </w:rPr>
        <w:t>肆</w:t>
      </w:r>
      <w:r>
        <w:rPr>
          <w:rFonts w:hint="eastAsia" w:cs="宋体"/>
          <w:sz w:val="24"/>
        </w:rPr>
        <w:t>份，经签约双方法定代表人或授权代表签字盖章后，最后一个签字日期起生效。</w:t>
      </w:r>
    </w:p>
    <w:p w14:paraId="7BAFFCEE">
      <w:pPr>
        <w:adjustRightInd w:val="0"/>
        <w:snapToGrid w:val="0"/>
        <w:spacing w:line="360" w:lineRule="auto"/>
        <w:ind w:firstLine="480" w:firstLineChars="200"/>
        <w:rPr>
          <w:rFonts w:cs="宋体"/>
          <w:sz w:val="24"/>
        </w:rPr>
      </w:pPr>
      <w:r>
        <w:rPr>
          <w:rFonts w:hint="eastAsia" w:cs="宋体"/>
          <w:sz w:val="24"/>
        </w:rPr>
        <w:t>2.本项目的试验方案、中国GCP和其他相关法律法规适用于本协议。</w:t>
      </w:r>
    </w:p>
    <w:p w14:paraId="0260060B">
      <w:pPr>
        <w:adjustRightInd w:val="0"/>
        <w:snapToGrid w:val="0"/>
        <w:spacing w:line="360" w:lineRule="auto"/>
        <w:ind w:firstLine="420" w:firstLineChars="200"/>
        <w:rPr>
          <w:szCs w:val="21"/>
        </w:rPr>
      </w:pPr>
    </w:p>
    <w:p w14:paraId="0AC0A02D">
      <w:pPr>
        <w:spacing w:line="360" w:lineRule="auto"/>
        <w:ind w:firstLine="420" w:firstLineChars="200"/>
        <w:rPr>
          <w:szCs w:val="21"/>
        </w:rPr>
      </w:pPr>
    </w:p>
    <w:p w14:paraId="3A6FB4DD">
      <w:pPr>
        <w:widowControl/>
        <w:jc w:val="left"/>
      </w:pPr>
      <w:r>
        <w:rPr>
          <w:rFonts w:hint="eastAsia"/>
        </w:rPr>
        <w:t>------－以下无正文内容－------</w:t>
      </w:r>
      <w:r>
        <w:br w:type="page"/>
      </w:r>
    </w:p>
    <w:p w14:paraId="4AE40733">
      <w:pPr>
        <w:spacing w:line="360" w:lineRule="auto"/>
        <w:jc w:val="center"/>
        <w:rPr>
          <w:sz w:val="28"/>
          <w:szCs w:val="28"/>
        </w:rPr>
      </w:pPr>
      <w:r>
        <w:rPr>
          <w:rFonts w:hint="eastAsia"/>
          <w:sz w:val="28"/>
          <w:szCs w:val="28"/>
        </w:rPr>
        <w:t>【</w:t>
      </w:r>
      <w:r>
        <w:rPr>
          <w:rFonts w:hint="eastAsia"/>
          <w:b/>
          <w:sz w:val="28"/>
          <w:szCs w:val="28"/>
        </w:rPr>
        <w:t>签署页</w:t>
      </w:r>
      <w:r>
        <w:rPr>
          <w:rFonts w:hint="eastAsia"/>
          <w:sz w:val="28"/>
          <w:szCs w:val="28"/>
        </w:rPr>
        <w:t>】</w:t>
      </w:r>
    </w:p>
    <w:p w14:paraId="17888A1B">
      <w:pPr>
        <w:widowControl/>
        <w:jc w:val="left"/>
      </w:pPr>
    </w:p>
    <w:tbl>
      <w:tblPr>
        <w:tblStyle w:val="11"/>
        <w:tblW w:w="917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23"/>
        <w:gridCol w:w="3600"/>
        <w:gridCol w:w="1250"/>
        <w:gridCol w:w="1600"/>
      </w:tblGrid>
      <w:tr w14:paraId="514C2F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9173" w:type="dxa"/>
            <w:gridSpan w:val="4"/>
            <w:vAlign w:val="center"/>
          </w:tcPr>
          <w:p w14:paraId="0B5CAF3C">
            <w:r>
              <w:rPr>
                <w:rFonts w:hint="eastAsia"/>
                <w:b/>
                <w:bCs/>
              </w:rPr>
              <w:t>甲方：</w:t>
            </w:r>
            <w:r>
              <w:rPr>
                <w:b/>
                <w:bCs/>
                <w:u w:val="single"/>
              </w:rPr>
              <w:t>××××××</w:t>
            </w:r>
            <w:r>
              <w:rPr>
                <w:rFonts w:hint="eastAsia"/>
                <w:b/>
                <w:bCs/>
                <w:u w:val="single"/>
              </w:rPr>
              <w:t>（申办方）</w:t>
            </w:r>
          </w:p>
        </w:tc>
      </w:tr>
      <w:tr w14:paraId="63F442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3" w:hRule="atLeast"/>
        </w:trPr>
        <w:tc>
          <w:tcPr>
            <w:tcW w:w="2723" w:type="dxa"/>
            <w:vAlign w:val="center"/>
          </w:tcPr>
          <w:p w14:paraId="7FB6EC6D">
            <w:pPr>
              <w:jc w:val="center"/>
            </w:pPr>
            <w:r>
              <w:rPr>
                <w:rFonts w:hint="eastAsia"/>
              </w:rPr>
              <w:t>单位名称（盖章）</w:t>
            </w:r>
          </w:p>
        </w:tc>
        <w:tc>
          <w:tcPr>
            <w:tcW w:w="6450" w:type="dxa"/>
            <w:gridSpan w:val="3"/>
            <w:vAlign w:val="center"/>
          </w:tcPr>
          <w:p w14:paraId="7252CC02">
            <w:pPr>
              <w:jc w:val="center"/>
            </w:pPr>
          </w:p>
        </w:tc>
      </w:tr>
      <w:tr w14:paraId="47B9C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trPr>
        <w:tc>
          <w:tcPr>
            <w:tcW w:w="2723" w:type="dxa"/>
            <w:vAlign w:val="center"/>
          </w:tcPr>
          <w:p w14:paraId="5F98180C">
            <w:pPr>
              <w:jc w:val="center"/>
            </w:pPr>
            <w:r>
              <w:rPr>
                <w:rFonts w:hint="eastAsia"/>
              </w:rPr>
              <w:t>法定代表人/委托代理人（签字）</w:t>
            </w:r>
          </w:p>
        </w:tc>
        <w:tc>
          <w:tcPr>
            <w:tcW w:w="6450" w:type="dxa"/>
            <w:gridSpan w:val="3"/>
            <w:vAlign w:val="center"/>
          </w:tcPr>
          <w:p w14:paraId="61ECDDD3">
            <w:pPr>
              <w:jc w:val="center"/>
            </w:pPr>
          </w:p>
          <w:p w14:paraId="69F03395">
            <w:pPr>
              <w:jc w:val="center"/>
            </w:pPr>
          </w:p>
          <w:p w14:paraId="31B406CF">
            <w:pPr>
              <w:jc w:val="center"/>
            </w:pPr>
          </w:p>
          <w:p w14:paraId="7E6797E7">
            <w:pPr>
              <w:ind w:firstLine="2520" w:firstLineChars="1200"/>
              <w:jc w:val="center"/>
            </w:pPr>
            <w:r>
              <w:rPr>
                <w:rFonts w:hint="eastAsia"/>
              </w:rPr>
              <w:t>日期：</w:t>
            </w:r>
          </w:p>
        </w:tc>
      </w:tr>
      <w:tr w14:paraId="02DCFE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2723" w:type="dxa"/>
            <w:vAlign w:val="center"/>
          </w:tcPr>
          <w:p w14:paraId="5001992A">
            <w:pPr>
              <w:jc w:val="center"/>
            </w:pPr>
            <w:r>
              <w:rPr>
                <w:rFonts w:hint="eastAsia"/>
              </w:rPr>
              <w:t>联系部门/联系人</w:t>
            </w:r>
          </w:p>
        </w:tc>
        <w:tc>
          <w:tcPr>
            <w:tcW w:w="3600" w:type="dxa"/>
            <w:vAlign w:val="center"/>
          </w:tcPr>
          <w:p w14:paraId="79C38A82">
            <w:pPr>
              <w:jc w:val="center"/>
            </w:pPr>
          </w:p>
        </w:tc>
        <w:tc>
          <w:tcPr>
            <w:tcW w:w="1250" w:type="dxa"/>
            <w:vAlign w:val="center"/>
          </w:tcPr>
          <w:p w14:paraId="508C43AF">
            <w:pPr>
              <w:jc w:val="center"/>
            </w:pPr>
            <w:r>
              <w:rPr>
                <w:rFonts w:hint="eastAsia"/>
              </w:rPr>
              <w:t>联系电话</w:t>
            </w:r>
          </w:p>
        </w:tc>
        <w:tc>
          <w:tcPr>
            <w:tcW w:w="1600" w:type="dxa"/>
            <w:vAlign w:val="center"/>
          </w:tcPr>
          <w:p w14:paraId="2F01E3BF"/>
        </w:tc>
      </w:tr>
      <w:tr w14:paraId="319471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2723" w:type="dxa"/>
            <w:vAlign w:val="center"/>
          </w:tcPr>
          <w:p w14:paraId="2150C3B0">
            <w:pPr>
              <w:jc w:val="center"/>
            </w:pPr>
            <w:r>
              <w:rPr>
                <w:rFonts w:hint="eastAsia"/>
              </w:rPr>
              <w:t>通讯地址</w:t>
            </w:r>
          </w:p>
        </w:tc>
        <w:tc>
          <w:tcPr>
            <w:tcW w:w="3600" w:type="dxa"/>
            <w:vAlign w:val="center"/>
          </w:tcPr>
          <w:p w14:paraId="6EBED2D6">
            <w:pPr>
              <w:jc w:val="center"/>
            </w:pPr>
          </w:p>
        </w:tc>
        <w:tc>
          <w:tcPr>
            <w:tcW w:w="1250" w:type="dxa"/>
            <w:vAlign w:val="center"/>
          </w:tcPr>
          <w:p w14:paraId="045069BC">
            <w:pPr>
              <w:jc w:val="center"/>
            </w:pPr>
            <w:r>
              <w:rPr>
                <w:rFonts w:hint="eastAsia"/>
              </w:rPr>
              <w:t>邮政编码</w:t>
            </w:r>
          </w:p>
        </w:tc>
        <w:tc>
          <w:tcPr>
            <w:tcW w:w="1600" w:type="dxa"/>
            <w:vAlign w:val="center"/>
          </w:tcPr>
          <w:p w14:paraId="6E54CB77"/>
        </w:tc>
      </w:tr>
      <w:tr w14:paraId="69D79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4" w:hRule="atLeast"/>
        </w:trPr>
        <w:tc>
          <w:tcPr>
            <w:tcW w:w="9173" w:type="dxa"/>
            <w:gridSpan w:val="4"/>
            <w:vAlign w:val="center"/>
          </w:tcPr>
          <w:p w14:paraId="494DC50C">
            <w:pPr>
              <w:rPr>
                <w:u w:val="single"/>
              </w:rPr>
            </w:pPr>
            <w:r>
              <w:rPr>
                <w:rFonts w:hint="eastAsia"/>
                <w:b/>
                <w:bCs/>
              </w:rPr>
              <w:t>乙方：眉山市人民医院（临床试验机构）</w:t>
            </w:r>
          </w:p>
        </w:tc>
      </w:tr>
      <w:tr w14:paraId="13F4FE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2723" w:type="dxa"/>
            <w:vAlign w:val="center"/>
          </w:tcPr>
          <w:p w14:paraId="4243D4E0">
            <w:pPr>
              <w:jc w:val="center"/>
            </w:pPr>
            <w:r>
              <w:rPr>
                <w:rFonts w:hint="eastAsia"/>
              </w:rPr>
              <w:t>机构名称（盖章）</w:t>
            </w:r>
          </w:p>
        </w:tc>
        <w:tc>
          <w:tcPr>
            <w:tcW w:w="6450" w:type="dxa"/>
            <w:gridSpan w:val="3"/>
            <w:vAlign w:val="center"/>
          </w:tcPr>
          <w:p w14:paraId="1C6E9799">
            <w:pPr>
              <w:jc w:val="center"/>
            </w:pPr>
            <w:r>
              <w:rPr>
                <w:rFonts w:hint="eastAsia"/>
              </w:rPr>
              <w:t>眉山市人民医院</w:t>
            </w:r>
          </w:p>
        </w:tc>
      </w:tr>
      <w:tr w14:paraId="67AC6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7" w:hRule="atLeast"/>
        </w:trPr>
        <w:tc>
          <w:tcPr>
            <w:tcW w:w="2723" w:type="dxa"/>
            <w:vAlign w:val="center"/>
          </w:tcPr>
          <w:p w14:paraId="23C91287">
            <w:pPr>
              <w:jc w:val="center"/>
            </w:pPr>
            <w:r>
              <w:rPr>
                <w:rFonts w:hint="eastAsia"/>
              </w:rPr>
              <w:t>法人（签字/签章）</w:t>
            </w:r>
          </w:p>
        </w:tc>
        <w:tc>
          <w:tcPr>
            <w:tcW w:w="6450" w:type="dxa"/>
            <w:gridSpan w:val="3"/>
            <w:vAlign w:val="center"/>
          </w:tcPr>
          <w:p w14:paraId="4CA3BC3A">
            <w:pPr>
              <w:jc w:val="center"/>
            </w:pPr>
          </w:p>
          <w:p w14:paraId="7E12B95C">
            <w:pPr>
              <w:jc w:val="center"/>
            </w:pPr>
          </w:p>
          <w:p w14:paraId="7C916D43">
            <w:pPr>
              <w:jc w:val="center"/>
            </w:pPr>
            <w:r>
              <w:rPr>
                <w:rFonts w:hint="eastAsia"/>
              </w:rPr>
              <w:t xml:space="preserve">         日期：</w:t>
            </w:r>
          </w:p>
        </w:tc>
      </w:tr>
      <w:tr w14:paraId="62515F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7" w:hRule="atLeast"/>
        </w:trPr>
        <w:tc>
          <w:tcPr>
            <w:tcW w:w="2723" w:type="dxa"/>
            <w:vAlign w:val="center"/>
          </w:tcPr>
          <w:p w14:paraId="0123047C">
            <w:pPr>
              <w:jc w:val="center"/>
            </w:pPr>
            <w:r>
              <w:rPr>
                <w:rFonts w:hint="eastAsia"/>
              </w:rPr>
              <w:t>科室主任（签字）</w:t>
            </w:r>
          </w:p>
        </w:tc>
        <w:tc>
          <w:tcPr>
            <w:tcW w:w="3600" w:type="dxa"/>
            <w:vAlign w:val="center"/>
          </w:tcPr>
          <w:p w14:paraId="2A90A2EE">
            <w:pPr>
              <w:jc w:val="center"/>
            </w:pPr>
          </w:p>
          <w:p w14:paraId="6114C84A">
            <w:pPr>
              <w:jc w:val="center"/>
            </w:pPr>
          </w:p>
          <w:p w14:paraId="5B5BDBFB">
            <w:pPr>
              <w:jc w:val="center"/>
            </w:pPr>
            <w:r>
              <w:rPr>
                <w:rFonts w:hint="eastAsia"/>
              </w:rPr>
              <w:t>日期：</w:t>
            </w:r>
          </w:p>
        </w:tc>
        <w:tc>
          <w:tcPr>
            <w:tcW w:w="1250" w:type="dxa"/>
            <w:vAlign w:val="center"/>
          </w:tcPr>
          <w:p w14:paraId="5667722C">
            <w:pPr>
              <w:jc w:val="center"/>
            </w:pPr>
            <w:r>
              <w:rPr>
                <w:rFonts w:hint="eastAsia"/>
              </w:rPr>
              <w:t>联系电话</w:t>
            </w:r>
          </w:p>
        </w:tc>
        <w:tc>
          <w:tcPr>
            <w:tcW w:w="1600" w:type="dxa"/>
            <w:vAlign w:val="center"/>
          </w:tcPr>
          <w:p w14:paraId="1185FB4E"/>
        </w:tc>
      </w:tr>
      <w:tr w14:paraId="31C616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7" w:hRule="atLeast"/>
        </w:trPr>
        <w:tc>
          <w:tcPr>
            <w:tcW w:w="2723" w:type="dxa"/>
            <w:vAlign w:val="center"/>
          </w:tcPr>
          <w:p w14:paraId="45E18794">
            <w:pPr>
              <w:jc w:val="center"/>
            </w:pPr>
            <w:r>
              <w:rPr>
                <w:rFonts w:hint="eastAsia"/>
              </w:rPr>
              <w:t>主要研究者（签字）</w:t>
            </w:r>
          </w:p>
          <w:p w14:paraId="472E1917">
            <w:pPr>
              <w:jc w:val="center"/>
            </w:pPr>
            <w:r>
              <w:rPr>
                <w:rFonts w:hint="eastAsia"/>
              </w:rPr>
              <w:t>（主要研究者代表该试验全部研究者签署合同，并承担相关责任和义务）</w:t>
            </w:r>
          </w:p>
        </w:tc>
        <w:tc>
          <w:tcPr>
            <w:tcW w:w="3600" w:type="dxa"/>
            <w:vAlign w:val="center"/>
          </w:tcPr>
          <w:p w14:paraId="0C4A33FE">
            <w:pPr>
              <w:jc w:val="center"/>
            </w:pPr>
          </w:p>
          <w:p w14:paraId="4E15EEDE">
            <w:pPr>
              <w:jc w:val="center"/>
            </w:pPr>
          </w:p>
          <w:p w14:paraId="76295C3C">
            <w:pPr>
              <w:jc w:val="center"/>
            </w:pPr>
          </w:p>
          <w:p w14:paraId="460B36C6">
            <w:pPr>
              <w:jc w:val="center"/>
            </w:pPr>
            <w:r>
              <w:rPr>
                <w:rFonts w:hint="eastAsia"/>
              </w:rPr>
              <w:t>日期：</w:t>
            </w:r>
          </w:p>
        </w:tc>
        <w:tc>
          <w:tcPr>
            <w:tcW w:w="1250" w:type="dxa"/>
            <w:vAlign w:val="center"/>
          </w:tcPr>
          <w:p w14:paraId="49F1E81E">
            <w:pPr>
              <w:jc w:val="center"/>
            </w:pPr>
            <w:r>
              <w:rPr>
                <w:rFonts w:hint="eastAsia"/>
              </w:rPr>
              <w:t>联系电话</w:t>
            </w:r>
          </w:p>
        </w:tc>
        <w:tc>
          <w:tcPr>
            <w:tcW w:w="1600" w:type="dxa"/>
            <w:vAlign w:val="center"/>
          </w:tcPr>
          <w:p w14:paraId="22F4233B"/>
        </w:tc>
      </w:tr>
    </w:tbl>
    <w:p w14:paraId="5C1F29BC">
      <w:pPr>
        <w:rPr>
          <w:iCs/>
          <w:color w:val="FF0000"/>
        </w:rPr>
      </w:pPr>
      <w:commentRangeStart w:id="2"/>
      <w:r>
        <w:rPr>
          <w:rFonts w:hint="eastAsia"/>
          <w:iCs/>
          <w:color w:val="FF0000"/>
        </w:rPr>
        <w:t>（合同签署方可根据实际情况增加）</w:t>
      </w:r>
      <w:commentRangeEnd w:id="2"/>
      <w:r>
        <w:commentReference w:id="2"/>
      </w:r>
    </w:p>
    <w:p w14:paraId="2DDE662C">
      <w:pPr>
        <w:rPr>
          <w:b/>
          <w:iCs/>
        </w:rPr>
      </w:pPr>
    </w:p>
    <w:p w14:paraId="1F106853">
      <w:pPr>
        <w:rPr>
          <w:szCs w:val="21"/>
        </w:rPr>
      </w:pPr>
    </w:p>
    <w:p w14:paraId="5E5FD5F7">
      <w:pPr>
        <w:rPr>
          <w:szCs w:val="21"/>
        </w:rPr>
      </w:pPr>
    </w:p>
    <w:p w14:paraId="510A6F4F">
      <w:pPr>
        <w:rPr>
          <w:szCs w:val="21"/>
        </w:rPr>
      </w:pPr>
    </w:p>
    <w:p w14:paraId="2162531E">
      <w:pPr>
        <w:rPr>
          <w:szCs w:val="21"/>
        </w:rPr>
      </w:pPr>
    </w:p>
    <w:p w14:paraId="37607196">
      <w:pPr>
        <w:rPr>
          <w:szCs w:val="21"/>
        </w:rPr>
      </w:pPr>
    </w:p>
    <w:p w14:paraId="7073BB0A">
      <w:pPr>
        <w:rPr>
          <w:b/>
        </w:rPr>
      </w:pPr>
    </w:p>
    <w:p w14:paraId="0181AE11">
      <w:pPr>
        <w:rPr>
          <w:szCs w:val="21"/>
        </w:rPr>
        <w:sectPr>
          <w:footerReference r:id="rId7" w:type="first"/>
          <w:headerReference r:id="rId5" w:type="default"/>
          <w:footerReference r:id="rId6" w:type="default"/>
          <w:pgSz w:w="11906" w:h="16838"/>
          <w:pgMar w:top="1440" w:right="1416" w:bottom="1440" w:left="1418" w:header="851" w:footer="992" w:gutter="0"/>
          <w:pgBorders w:offsetFrom="page">
            <w:top w:val="single" w:color="000000" w:themeColor="text1" w:sz="4" w:space="24"/>
            <w:bottom w:val="single" w:color="000000" w:themeColor="text1" w:sz="4" w:space="24"/>
          </w:pgBorders>
          <w:cols w:space="425" w:num="1"/>
          <w:docGrid w:type="lines" w:linePitch="312" w:charSpace="0"/>
        </w:sectPr>
      </w:pPr>
    </w:p>
    <w:p w14:paraId="67BCEE38">
      <w:pPr>
        <w:adjustRightInd w:val="0"/>
        <w:snapToGrid w:val="0"/>
        <w:spacing w:line="360" w:lineRule="auto"/>
        <w:rPr>
          <w:b/>
          <w:sz w:val="28"/>
          <w:szCs w:val="28"/>
        </w:rPr>
      </w:pPr>
      <w:r>
        <w:rPr>
          <w:b/>
          <w:sz w:val="28"/>
          <w:szCs w:val="28"/>
        </w:rPr>
        <w:t>附</w:t>
      </w:r>
      <w:r>
        <w:rPr>
          <w:rFonts w:hint="eastAsia"/>
          <w:b/>
          <w:sz w:val="28"/>
          <w:szCs w:val="28"/>
        </w:rPr>
        <w:t>表</w:t>
      </w:r>
      <w:r>
        <w:rPr>
          <w:rFonts w:hint="eastAsia"/>
          <w:b/>
          <w:sz w:val="28"/>
          <w:szCs w:val="28"/>
          <w:lang w:val="en-US" w:eastAsia="zh-CN"/>
        </w:rPr>
        <w:t>1</w:t>
      </w:r>
      <w:r>
        <w:rPr>
          <w:rFonts w:hint="eastAsia"/>
          <w:b/>
          <w:sz w:val="28"/>
          <w:szCs w:val="28"/>
        </w:rPr>
        <w:t>：</w:t>
      </w:r>
    </w:p>
    <w:p w14:paraId="1F36BBF2">
      <w:pPr>
        <w:ind w:firstLine="422" w:firstLineChars="200"/>
        <w:rPr>
          <w:b/>
          <w:szCs w:val="21"/>
        </w:rPr>
      </w:pPr>
      <w:r>
        <w:rPr>
          <w:rFonts w:hint="eastAsia"/>
          <w:b/>
          <w:szCs w:val="21"/>
        </w:rPr>
        <w:t>表1：</w:t>
      </w:r>
      <w:r>
        <w:rPr>
          <w:szCs w:val="21"/>
        </w:rPr>
        <w:t>临床试验需要的</w:t>
      </w:r>
      <w:r>
        <w:rPr>
          <w:rFonts w:hint="eastAsia"/>
          <w:szCs w:val="21"/>
        </w:rPr>
        <w:t>门诊</w:t>
      </w:r>
      <w:r>
        <w:rPr>
          <w:szCs w:val="21"/>
        </w:rPr>
        <w:t>相关检查明细表</w:t>
      </w:r>
      <w:r>
        <w:rPr>
          <w:rFonts w:hint="eastAsia"/>
          <w:szCs w:val="21"/>
        </w:rPr>
        <w:t>（下表为单例明细，计划试验例数</w:t>
      </w:r>
      <w:r>
        <w:rPr>
          <w:rFonts w:hint="eastAsia"/>
          <w:sz w:val="24"/>
          <w:vertAlign w:val="superscript"/>
        </w:rPr>
        <w:t>*</w:t>
      </w:r>
      <w:r>
        <w:rPr>
          <w:rFonts w:hint="eastAsia"/>
          <w:szCs w:val="21"/>
        </w:rPr>
        <w:t>___例）</w:t>
      </w:r>
    </w:p>
    <w:tbl>
      <w:tblPr>
        <w:tblStyle w:val="11"/>
        <w:tblW w:w="916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709"/>
        <w:gridCol w:w="567"/>
        <w:gridCol w:w="425"/>
        <w:gridCol w:w="426"/>
        <w:gridCol w:w="1285"/>
        <w:gridCol w:w="435"/>
        <w:gridCol w:w="462"/>
        <w:gridCol w:w="678"/>
        <w:gridCol w:w="1395"/>
        <w:gridCol w:w="1541"/>
      </w:tblGrid>
      <w:tr w14:paraId="0C446D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1242" w:type="dxa"/>
            <w:vMerge w:val="restart"/>
            <w:vAlign w:val="center"/>
          </w:tcPr>
          <w:p w14:paraId="7686A7DE">
            <w:pPr>
              <w:jc w:val="center"/>
              <w:rPr>
                <w:kern w:val="0"/>
                <w:szCs w:val="21"/>
              </w:rPr>
            </w:pPr>
            <w:r>
              <w:rPr>
                <w:kern w:val="0"/>
                <w:szCs w:val="21"/>
              </w:rPr>
              <w:t>检查项目</w:t>
            </w:r>
          </w:p>
        </w:tc>
        <w:tc>
          <w:tcPr>
            <w:tcW w:w="709" w:type="dxa"/>
            <w:vMerge w:val="restart"/>
            <w:vAlign w:val="center"/>
          </w:tcPr>
          <w:p w14:paraId="6BF837D4">
            <w:pPr>
              <w:jc w:val="center"/>
              <w:rPr>
                <w:kern w:val="0"/>
                <w:szCs w:val="21"/>
              </w:rPr>
            </w:pPr>
            <w:r>
              <w:rPr>
                <w:kern w:val="0"/>
                <w:szCs w:val="21"/>
              </w:rPr>
              <w:t>单价</w:t>
            </w:r>
          </w:p>
          <w:p w14:paraId="15539487">
            <w:pPr>
              <w:jc w:val="center"/>
              <w:rPr>
                <w:kern w:val="0"/>
                <w:sz w:val="15"/>
                <w:szCs w:val="15"/>
              </w:rPr>
            </w:pPr>
            <w:r>
              <w:rPr>
                <w:rFonts w:hint="eastAsia"/>
                <w:kern w:val="0"/>
                <w:sz w:val="15"/>
                <w:szCs w:val="15"/>
              </w:rPr>
              <w:t>（</w:t>
            </w:r>
            <w:r>
              <w:rPr>
                <w:kern w:val="0"/>
                <w:sz w:val="15"/>
                <w:szCs w:val="15"/>
              </w:rPr>
              <w:t>元/次</w:t>
            </w:r>
            <w:r>
              <w:rPr>
                <w:rFonts w:hint="eastAsia"/>
                <w:kern w:val="0"/>
                <w:sz w:val="15"/>
                <w:szCs w:val="15"/>
              </w:rPr>
              <w:t>）</w:t>
            </w:r>
          </w:p>
        </w:tc>
        <w:tc>
          <w:tcPr>
            <w:tcW w:w="3138" w:type="dxa"/>
            <w:gridSpan w:val="5"/>
            <w:vAlign w:val="center"/>
          </w:tcPr>
          <w:p w14:paraId="729BF4B5">
            <w:pPr>
              <w:jc w:val="center"/>
              <w:rPr>
                <w:kern w:val="0"/>
                <w:szCs w:val="21"/>
              </w:rPr>
            </w:pPr>
            <w:r>
              <w:rPr>
                <w:kern w:val="0"/>
                <w:szCs w:val="21"/>
              </w:rPr>
              <w:t>检查次数</w:t>
            </w:r>
            <w:r>
              <w:rPr>
                <w:rFonts w:hint="eastAsia"/>
                <w:kern w:val="0"/>
                <w:szCs w:val="21"/>
              </w:rPr>
              <w:t>（</w:t>
            </w:r>
            <w:r>
              <w:rPr>
                <w:kern w:val="0"/>
                <w:szCs w:val="21"/>
              </w:rPr>
              <w:t>次/人</w:t>
            </w:r>
            <w:r>
              <w:rPr>
                <w:rFonts w:hint="eastAsia"/>
                <w:kern w:val="0"/>
                <w:szCs w:val="21"/>
              </w:rPr>
              <w:t>）</w:t>
            </w:r>
          </w:p>
        </w:tc>
        <w:tc>
          <w:tcPr>
            <w:tcW w:w="1140" w:type="dxa"/>
            <w:gridSpan w:val="2"/>
            <w:vMerge w:val="restart"/>
            <w:vAlign w:val="center"/>
          </w:tcPr>
          <w:p w14:paraId="59B941E9">
            <w:pPr>
              <w:jc w:val="center"/>
              <w:rPr>
                <w:kern w:val="0"/>
                <w:szCs w:val="21"/>
              </w:rPr>
            </w:pPr>
            <w:r>
              <w:rPr>
                <w:kern w:val="0"/>
                <w:szCs w:val="21"/>
              </w:rPr>
              <w:t>合计检查次数</w:t>
            </w:r>
          </w:p>
        </w:tc>
        <w:tc>
          <w:tcPr>
            <w:tcW w:w="1395" w:type="dxa"/>
            <w:vMerge w:val="restart"/>
            <w:vAlign w:val="center"/>
          </w:tcPr>
          <w:p w14:paraId="14756526">
            <w:pPr>
              <w:jc w:val="center"/>
              <w:rPr>
                <w:kern w:val="0"/>
                <w:szCs w:val="21"/>
              </w:rPr>
            </w:pPr>
            <w:r>
              <w:rPr>
                <w:kern w:val="0"/>
                <w:szCs w:val="21"/>
              </w:rPr>
              <w:t>单项汇总金额</w:t>
            </w:r>
            <w:r>
              <w:rPr>
                <w:rFonts w:hint="eastAsia"/>
                <w:kern w:val="0"/>
                <w:szCs w:val="21"/>
              </w:rPr>
              <w:t>（</w:t>
            </w:r>
            <w:r>
              <w:rPr>
                <w:kern w:val="0"/>
                <w:szCs w:val="21"/>
              </w:rPr>
              <w:t>元</w:t>
            </w:r>
            <w:r>
              <w:rPr>
                <w:rFonts w:hint="eastAsia"/>
                <w:kern w:val="0"/>
                <w:szCs w:val="21"/>
              </w:rPr>
              <w:t>）</w:t>
            </w:r>
          </w:p>
        </w:tc>
        <w:tc>
          <w:tcPr>
            <w:tcW w:w="1541" w:type="dxa"/>
            <w:vMerge w:val="restart"/>
            <w:vAlign w:val="center"/>
          </w:tcPr>
          <w:p w14:paraId="67FD0476">
            <w:pPr>
              <w:jc w:val="center"/>
              <w:rPr>
                <w:i/>
                <w:kern w:val="0"/>
                <w:szCs w:val="21"/>
              </w:rPr>
            </w:pPr>
            <w:r>
              <w:rPr>
                <w:i/>
                <w:kern w:val="0"/>
                <w:szCs w:val="21"/>
              </w:rPr>
              <w:t>备注</w:t>
            </w:r>
          </w:p>
        </w:tc>
      </w:tr>
      <w:tr w14:paraId="59A50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1242" w:type="dxa"/>
            <w:vMerge w:val="continue"/>
            <w:vAlign w:val="center"/>
          </w:tcPr>
          <w:p w14:paraId="1B1731EA">
            <w:pPr>
              <w:jc w:val="center"/>
              <w:rPr>
                <w:kern w:val="0"/>
                <w:szCs w:val="21"/>
              </w:rPr>
            </w:pPr>
          </w:p>
        </w:tc>
        <w:tc>
          <w:tcPr>
            <w:tcW w:w="709" w:type="dxa"/>
            <w:vMerge w:val="continue"/>
            <w:vAlign w:val="center"/>
          </w:tcPr>
          <w:p w14:paraId="72FC0E0A">
            <w:pPr>
              <w:jc w:val="center"/>
              <w:rPr>
                <w:kern w:val="0"/>
                <w:szCs w:val="21"/>
              </w:rPr>
            </w:pPr>
          </w:p>
        </w:tc>
        <w:tc>
          <w:tcPr>
            <w:tcW w:w="567" w:type="dxa"/>
            <w:vAlign w:val="center"/>
          </w:tcPr>
          <w:p w14:paraId="7B2EB702">
            <w:pPr>
              <w:jc w:val="center"/>
              <w:rPr>
                <w:kern w:val="0"/>
                <w:szCs w:val="21"/>
              </w:rPr>
            </w:pPr>
            <w:r>
              <w:rPr>
                <w:rFonts w:hint="eastAsia"/>
                <w:kern w:val="0"/>
                <w:szCs w:val="21"/>
              </w:rPr>
              <w:t>筛选期</w:t>
            </w:r>
          </w:p>
        </w:tc>
        <w:tc>
          <w:tcPr>
            <w:tcW w:w="425" w:type="dxa"/>
            <w:vAlign w:val="center"/>
          </w:tcPr>
          <w:p w14:paraId="0F310898">
            <w:pPr>
              <w:jc w:val="center"/>
              <w:rPr>
                <w:kern w:val="0"/>
                <w:szCs w:val="21"/>
              </w:rPr>
            </w:pPr>
            <w:r>
              <w:rPr>
                <w:rFonts w:hint="eastAsia"/>
                <w:kern w:val="0"/>
                <w:szCs w:val="21"/>
              </w:rPr>
              <w:t>访视1</w:t>
            </w:r>
          </w:p>
        </w:tc>
        <w:tc>
          <w:tcPr>
            <w:tcW w:w="426" w:type="dxa"/>
            <w:vAlign w:val="center"/>
          </w:tcPr>
          <w:p w14:paraId="1428C09F">
            <w:pPr>
              <w:jc w:val="center"/>
              <w:rPr>
                <w:kern w:val="0"/>
                <w:szCs w:val="21"/>
              </w:rPr>
            </w:pPr>
            <w:r>
              <w:rPr>
                <w:rFonts w:hint="eastAsia"/>
                <w:kern w:val="0"/>
                <w:szCs w:val="21"/>
              </w:rPr>
              <w:t>访视2</w:t>
            </w:r>
          </w:p>
        </w:tc>
        <w:tc>
          <w:tcPr>
            <w:tcW w:w="1285" w:type="dxa"/>
            <w:vAlign w:val="center"/>
          </w:tcPr>
          <w:p w14:paraId="7BB5BEE5">
            <w:pPr>
              <w:jc w:val="center"/>
              <w:rPr>
                <w:kern w:val="0"/>
                <w:szCs w:val="21"/>
              </w:rPr>
            </w:pPr>
            <w:r>
              <w:rPr>
                <w:rFonts w:hint="eastAsia"/>
                <w:kern w:val="0"/>
                <w:szCs w:val="21"/>
              </w:rPr>
              <w:t>...</w:t>
            </w:r>
          </w:p>
        </w:tc>
        <w:tc>
          <w:tcPr>
            <w:tcW w:w="435" w:type="dxa"/>
            <w:vAlign w:val="center"/>
          </w:tcPr>
          <w:p w14:paraId="72459290">
            <w:pPr>
              <w:jc w:val="center"/>
              <w:rPr>
                <w:kern w:val="0"/>
                <w:szCs w:val="21"/>
              </w:rPr>
            </w:pPr>
            <w:r>
              <w:rPr>
                <w:rFonts w:hint="eastAsia"/>
                <w:kern w:val="0"/>
                <w:szCs w:val="21"/>
              </w:rPr>
              <w:t>完成期</w:t>
            </w:r>
          </w:p>
        </w:tc>
        <w:tc>
          <w:tcPr>
            <w:tcW w:w="1140" w:type="dxa"/>
            <w:gridSpan w:val="2"/>
            <w:vMerge w:val="continue"/>
            <w:vAlign w:val="center"/>
          </w:tcPr>
          <w:p w14:paraId="2E2AC83E">
            <w:pPr>
              <w:jc w:val="center"/>
              <w:rPr>
                <w:kern w:val="0"/>
                <w:szCs w:val="21"/>
              </w:rPr>
            </w:pPr>
          </w:p>
        </w:tc>
        <w:tc>
          <w:tcPr>
            <w:tcW w:w="1395" w:type="dxa"/>
            <w:vMerge w:val="continue"/>
            <w:vAlign w:val="center"/>
          </w:tcPr>
          <w:p w14:paraId="4F78CAB7">
            <w:pPr>
              <w:jc w:val="center"/>
              <w:rPr>
                <w:kern w:val="0"/>
                <w:szCs w:val="21"/>
              </w:rPr>
            </w:pPr>
          </w:p>
        </w:tc>
        <w:tc>
          <w:tcPr>
            <w:tcW w:w="1541" w:type="dxa"/>
            <w:vMerge w:val="continue"/>
            <w:vAlign w:val="center"/>
          </w:tcPr>
          <w:p w14:paraId="321A3CB0">
            <w:pPr>
              <w:jc w:val="center"/>
              <w:rPr>
                <w:kern w:val="0"/>
                <w:szCs w:val="21"/>
              </w:rPr>
            </w:pPr>
          </w:p>
        </w:tc>
      </w:tr>
      <w:tr w14:paraId="727015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2" w:type="dxa"/>
          </w:tcPr>
          <w:p w14:paraId="748A9EDA">
            <w:pPr>
              <w:rPr>
                <w:kern w:val="0"/>
                <w:szCs w:val="21"/>
              </w:rPr>
            </w:pPr>
            <w:r>
              <w:rPr>
                <w:rFonts w:hint="eastAsia"/>
                <w:kern w:val="0"/>
                <w:szCs w:val="21"/>
              </w:rPr>
              <w:t>尿常规</w:t>
            </w:r>
          </w:p>
        </w:tc>
        <w:tc>
          <w:tcPr>
            <w:tcW w:w="709" w:type="dxa"/>
          </w:tcPr>
          <w:p w14:paraId="392383C3">
            <w:pPr>
              <w:jc w:val="center"/>
              <w:rPr>
                <w:kern w:val="0"/>
                <w:szCs w:val="21"/>
              </w:rPr>
            </w:pPr>
            <w:r>
              <w:rPr>
                <w:rFonts w:hint="eastAsia"/>
                <w:kern w:val="0"/>
                <w:szCs w:val="21"/>
              </w:rPr>
              <w:t>**</w:t>
            </w:r>
          </w:p>
        </w:tc>
        <w:tc>
          <w:tcPr>
            <w:tcW w:w="567" w:type="dxa"/>
          </w:tcPr>
          <w:p w14:paraId="7646D6B4">
            <w:pPr>
              <w:jc w:val="center"/>
              <w:rPr>
                <w:kern w:val="0"/>
                <w:szCs w:val="21"/>
              </w:rPr>
            </w:pPr>
            <w:r>
              <w:rPr>
                <w:rFonts w:hint="eastAsia"/>
                <w:kern w:val="0"/>
                <w:szCs w:val="21"/>
              </w:rPr>
              <w:t>1</w:t>
            </w:r>
          </w:p>
        </w:tc>
        <w:tc>
          <w:tcPr>
            <w:tcW w:w="425" w:type="dxa"/>
          </w:tcPr>
          <w:p w14:paraId="24F7A7BD">
            <w:pPr>
              <w:jc w:val="center"/>
              <w:rPr>
                <w:kern w:val="0"/>
                <w:szCs w:val="21"/>
              </w:rPr>
            </w:pPr>
            <w:r>
              <w:rPr>
                <w:rFonts w:hint="eastAsia"/>
                <w:kern w:val="0"/>
                <w:szCs w:val="21"/>
              </w:rPr>
              <w:t>1</w:t>
            </w:r>
          </w:p>
        </w:tc>
        <w:tc>
          <w:tcPr>
            <w:tcW w:w="426" w:type="dxa"/>
          </w:tcPr>
          <w:p w14:paraId="47BF9472">
            <w:pPr>
              <w:jc w:val="center"/>
              <w:rPr>
                <w:kern w:val="0"/>
                <w:szCs w:val="21"/>
              </w:rPr>
            </w:pPr>
          </w:p>
        </w:tc>
        <w:tc>
          <w:tcPr>
            <w:tcW w:w="1285" w:type="dxa"/>
          </w:tcPr>
          <w:p w14:paraId="0F3F3F0A">
            <w:pPr>
              <w:jc w:val="center"/>
              <w:rPr>
                <w:kern w:val="0"/>
                <w:szCs w:val="21"/>
              </w:rPr>
            </w:pPr>
          </w:p>
        </w:tc>
        <w:tc>
          <w:tcPr>
            <w:tcW w:w="435" w:type="dxa"/>
          </w:tcPr>
          <w:p w14:paraId="79531C2E">
            <w:pPr>
              <w:jc w:val="center"/>
              <w:rPr>
                <w:kern w:val="0"/>
                <w:szCs w:val="21"/>
              </w:rPr>
            </w:pPr>
            <w:r>
              <w:rPr>
                <w:rFonts w:hint="eastAsia"/>
                <w:kern w:val="0"/>
                <w:szCs w:val="21"/>
              </w:rPr>
              <w:t>1</w:t>
            </w:r>
          </w:p>
        </w:tc>
        <w:tc>
          <w:tcPr>
            <w:tcW w:w="1140" w:type="dxa"/>
            <w:gridSpan w:val="2"/>
          </w:tcPr>
          <w:p w14:paraId="6A3D402C">
            <w:pPr>
              <w:jc w:val="center"/>
              <w:rPr>
                <w:kern w:val="0"/>
                <w:szCs w:val="21"/>
              </w:rPr>
            </w:pPr>
            <w:r>
              <w:rPr>
                <w:rFonts w:hint="eastAsia"/>
                <w:kern w:val="0"/>
                <w:szCs w:val="21"/>
              </w:rPr>
              <w:t>3</w:t>
            </w:r>
          </w:p>
        </w:tc>
        <w:tc>
          <w:tcPr>
            <w:tcW w:w="1395" w:type="dxa"/>
          </w:tcPr>
          <w:p w14:paraId="6C956CAD">
            <w:pPr>
              <w:jc w:val="center"/>
              <w:rPr>
                <w:kern w:val="0"/>
                <w:szCs w:val="21"/>
              </w:rPr>
            </w:pPr>
            <w:r>
              <w:rPr>
                <w:rFonts w:hint="eastAsia"/>
                <w:kern w:val="0"/>
                <w:szCs w:val="21"/>
              </w:rPr>
              <w:t>**.**</w:t>
            </w:r>
          </w:p>
        </w:tc>
        <w:tc>
          <w:tcPr>
            <w:tcW w:w="1541" w:type="dxa"/>
          </w:tcPr>
          <w:p w14:paraId="0654B7FE">
            <w:pPr>
              <w:rPr>
                <w:kern w:val="0"/>
                <w:szCs w:val="21"/>
              </w:rPr>
            </w:pPr>
          </w:p>
        </w:tc>
      </w:tr>
      <w:tr w14:paraId="5C6BA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2" w:type="dxa"/>
          </w:tcPr>
          <w:p w14:paraId="147F71B7">
            <w:pPr>
              <w:rPr>
                <w:kern w:val="0"/>
                <w:szCs w:val="21"/>
              </w:rPr>
            </w:pPr>
            <w:r>
              <w:rPr>
                <w:rFonts w:hint="eastAsia"/>
                <w:kern w:val="0"/>
                <w:szCs w:val="21"/>
              </w:rPr>
              <w:t>血常规</w:t>
            </w:r>
          </w:p>
        </w:tc>
        <w:tc>
          <w:tcPr>
            <w:tcW w:w="709" w:type="dxa"/>
          </w:tcPr>
          <w:p w14:paraId="17CBE5F7">
            <w:pPr>
              <w:jc w:val="center"/>
              <w:rPr>
                <w:kern w:val="0"/>
                <w:szCs w:val="21"/>
              </w:rPr>
            </w:pPr>
            <w:r>
              <w:rPr>
                <w:rFonts w:hint="eastAsia"/>
                <w:kern w:val="0"/>
                <w:szCs w:val="21"/>
              </w:rPr>
              <w:t>**</w:t>
            </w:r>
          </w:p>
        </w:tc>
        <w:tc>
          <w:tcPr>
            <w:tcW w:w="567" w:type="dxa"/>
          </w:tcPr>
          <w:p w14:paraId="6890F2B4">
            <w:pPr>
              <w:jc w:val="center"/>
              <w:rPr>
                <w:kern w:val="0"/>
                <w:szCs w:val="21"/>
              </w:rPr>
            </w:pPr>
            <w:r>
              <w:rPr>
                <w:rFonts w:hint="eastAsia"/>
                <w:kern w:val="0"/>
                <w:szCs w:val="21"/>
              </w:rPr>
              <w:t>1</w:t>
            </w:r>
          </w:p>
        </w:tc>
        <w:tc>
          <w:tcPr>
            <w:tcW w:w="425" w:type="dxa"/>
          </w:tcPr>
          <w:p w14:paraId="71866C77">
            <w:pPr>
              <w:jc w:val="center"/>
              <w:rPr>
                <w:kern w:val="0"/>
                <w:szCs w:val="21"/>
              </w:rPr>
            </w:pPr>
            <w:r>
              <w:rPr>
                <w:rFonts w:hint="eastAsia"/>
                <w:kern w:val="0"/>
                <w:szCs w:val="21"/>
              </w:rPr>
              <w:t>1</w:t>
            </w:r>
          </w:p>
        </w:tc>
        <w:tc>
          <w:tcPr>
            <w:tcW w:w="426" w:type="dxa"/>
          </w:tcPr>
          <w:p w14:paraId="6A51456F">
            <w:pPr>
              <w:jc w:val="center"/>
              <w:rPr>
                <w:kern w:val="0"/>
                <w:szCs w:val="21"/>
              </w:rPr>
            </w:pPr>
          </w:p>
        </w:tc>
        <w:tc>
          <w:tcPr>
            <w:tcW w:w="1285" w:type="dxa"/>
          </w:tcPr>
          <w:p w14:paraId="70210CF9">
            <w:pPr>
              <w:jc w:val="center"/>
              <w:rPr>
                <w:kern w:val="0"/>
                <w:szCs w:val="21"/>
              </w:rPr>
            </w:pPr>
          </w:p>
        </w:tc>
        <w:tc>
          <w:tcPr>
            <w:tcW w:w="435" w:type="dxa"/>
          </w:tcPr>
          <w:p w14:paraId="6C0BD166">
            <w:pPr>
              <w:jc w:val="center"/>
              <w:rPr>
                <w:kern w:val="0"/>
                <w:szCs w:val="21"/>
              </w:rPr>
            </w:pPr>
            <w:r>
              <w:rPr>
                <w:rFonts w:hint="eastAsia"/>
                <w:kern w:val="0"/>
                <w:szCs w:val="21"/>
              </w:rPr>
              <w:t>1</w:t>
            </w:r>
          </w:p>
        </w:tc>
        <w:tc>
          <w:tcPr>
            <w:tcW w:w="1140" w:type="dxa"/>
            <w:gridSpan w:val="2"/>
          </w:tcPr>
          <w:p w14:paraId="41D8AE16">
            <w:pPr>
              <w:jc w:val="center"/>
              <w:rPr>
                <w:kern w:val="0"/>
                <w:szCs w:val="21"/>
              </w:rPr>
            </w:pPr>
            <w:r>
              <w:rPr>
                <w:rFonts w:hint="eastAsia"/>
                <w:kern w:val="0"/>
                <w:szCs w:val="21"/>
              </w:rPr>
              <w:t>3</w:t>
            </w:r>
          </w:p>
        </w:tc>
        <w:tc>
          <w:tcPr>
            <w:tcW w:w="1395" w:type="dxa"/>
          </w:tcPr>
          <w:p w14:paraId="7B1A7C2B">
            <w:pPr>
              <w:jc w:val="center"/>
              <w:rPr>
                <w:kern w:val="0"/>
                <w:szCs w:val="21"/>
              </w:rPr>
            </w:pPr>
            <w:r>
              <w:rPr>
                <w:rFonts w:hint="eastAsia"/>
                <w:kern w:val="0"/>
                <w:szCs w:val="21"/>
              </w:rPr>
              <w:t>**.**</w:t>
            </w:r>
          </w:p>
        </w:tc>
        <w:tc>
          <w:tcPr>
            <w:tcW w:w="1541" w:type="dxa"/>
          </w:tcPr>
          <w:p w14:paraId="641F7298">
            <w:pPr>
              <w:rPr>
                <w:kern w:val="0"/>
                <w:szCs w:val="21"/>
              </w:rPr>
            </w:pPr>
          </w:p>
        </w:tc>
      </w:tr>
      <w:tr w14:paraId="021CC7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2" w:type="dxa"/>
          </w:tcPr>
          <w:p w14:paraId="67DB349A">
            <w:pPr>
              <w:rPr>
                <w:kern w:val="0"/>
                <w:szCs w:val="21"/>
              </w:rPr>
            </w:pPr>
            <w:r>
              <w:rPr>
                <w:rFonts w:hint="eastAsia"/>
                <w:kern w:val="0"/>
                <w:szCs w:val="21"/>
              </w:rPr>
              <w:t>...</w:t>
            </w:r>
          </w:p>
        </w:tc>
        <w:tc>
          <w:tcPr>
            <w:tcW w:w="709" w:type="dxa"/>
          </w:tcPr>
          <w:p w14:paraId="52A7F537">
            <w:pPr>
              <w:jc w:val="center"/>
              <w:rPr>
                <w:kern w:val="0"/>
                <w:szCs w:val="21"/>
              </w:rPr>
            </w:pPr>
          </w:p>
        </w:tc>
        <w:tc>
          <w:tcPr>
            <w:tcW w:w="567" w:type="dxa"/>
          </w:tcPr>
          <w:p w14:paraId="6307123E">
            <w:pPr>
              <w:jc w:val="center"/>
              <w:rPr>
                <w:kern w:val="0"/>
                <w:szCs w:val="21"/>
              </w:rPr>
            </w:pPr>
          </w:p>
        </w:tc>
        <w:tc>
          <w:tcPr>
            <w:tcW w:w="425" w:type="dxa"/>
          </w:tcPr>
          <w:p w14:paraId="3B668A77">
            <w:pPr>
              <w:jc w:val="center"/>
              <w:rPr>
                <w:kern w:val="0"/>
                <w:szCs w:val="21"/>
              </w:rPr>
            </w:pPr>
          </w:p>
        </w:tc>
        <w:tc>
          <w:tcPr>
            <w:tcW w:w="426" w:type="dxa"/>
          </w:tcPr>
          <w:p w14:paraId="08B7EB1F">
            <w:pPr>
              <w:jc w:val="center"/>
              <w:rPr>
                <w:kern w:val="0"/>
                <w:szCs w:val="21"/>
              </w:rPr>
            </w:pPr>
          </w:p>
        </w:tc>
        <w:tc>
          <w:tcPr>
            <w:tcW w:w="1285" w:type="dxa"/>
          </w:tcPr>
          <w:p w14:paraId="26EA10D7">
            <w:pPr>
              <w:jc w:val="center"/>
              <w:rPr>
                <w:kern w:val="0"/>
                <w:szCs w:val="21"/>
              </w:rPr>
            </w:pPr>
          </w:p>
        </w:tc>
        <w:tc>
          <w:tcPr>
            <w:tcW w:w="435" w:type="dxa"/>
          </w:tcPr>
          <w:p w14:paraId="23B5181A">
            <w:pPr>
              <w:jc w:val="center"/>
              <w:rPr>
                <w:kern w:val="0"/>
                <w:szCs w:val="21"/>
              </w:rPr>
            </w:pPr>
          </w:p>
        </w:tc>
        <w:tc>
          <w:tcPr>
            <w:tcW w:w="1140" w:type="dxa"/>
            <w:gridSpan w:val="2"/>
          </w:tcPr>
          <w:p w14:paraId="033DFC78">
            <w:pPr>
              <w:jc w:val="center"/>
              <w:rPr>
                <w:kern w:val="0"/>
                <w:szCs w:val="21"/>
              </w:rPr>
            </w:pPr>
          </w:p>
        </w:tc>
        <w:tc>
          <w:tcPr>
            <w:tcW w:w="1395" w:type="dxa"/>
          </w:tcPr>
          <w:p w14:paraId="38DB0A6F">
            <w:pPr>
              <w:jc w:val="center"/>
              <w:rPr>
                <w:kern w:val="0"/>
                <w:szCs w:val="21"/>
              </w:rPr>
            </w:pPr>
          </w:p>
        </w:tc>
        <w:tc>
          <w:tcPr>
            <w:tcW w:w="1541" w:type="dxa"/>
          </w:tcPr>
          <w:p w14:paraId="4DB255F6">
            <w:pPr>
              <w:rPr>
                <w:kern w:val="0"/>
                <w:szCs w:val="21"/>
              </w:rPr>
            </w:pPr>
          </w:p>
        </w:tc>
      </w:tr>
      <w:tr w14:paraId="758300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1" w:type="dxa"/>
            <w:gridSpan w:val="8"/>
          </w:tcPr>
          <w:p w14:paraId="486617A5">
            <w:pPr>
              <w:jc w:val="right"/>
              <w:rPr>
                <w:b/>
                <w:kern w:val="0"/>
                <w:szCs w:val="21"/>
              </w:rPr>
            </w:pPr>
            <w:r>
              <w:rPr>
                <w:rFonts w:hint="eastAsia"/>
                <w:b/>
                <w:kern w:val="0"/>
                <w:szCs w:val="21"/>
              </w:rPr>
              <w:t>单例合计检查费</w:t>
            </w:r>
          </w:p>
        </w:tc>
        <w:tc>
          <w:tcPr>
            <w:tcW w:w="3614" w:type="dxa"/>
            <w:gridSpan w:val="3"/>
          </w:tcPr>
          <w:p w14:paraId="2155A998">
            <w:pPr>
              <w:rPr>
                <w:kern w:val="0"/>
                <w:szCs w:val="21"/>
              </w:rPr>
            </w:pPr>
            <w:r>
              <w:rPr>
                <w:rFonts w:hint="eastAsia"/>
                <w:b/>
                <w:kern w:val="0"/>
                <w:szCs w:val="21"/>
              </w:rPr>
              <w:t>**.**</w:t>
            </w:r>
          </w:p>
        </w:tc>
      </w:tr>
    </w:tbl>
    <w:p w14:paraId="41974AF9">
      <w:pPr>
        <w:rPr>
          <w:b/>
          <w:szCs w:val="21"/>
        </w:rPr>
      </w:pPr>
    </w:p>
    <w:p w14:paraId="3E5BEBA0">
      <w:pPr>
        <w:ind w:firstLine="422" w:firstLineChars="200"/>
        <w:rPr>
          <w:szCs w:val="21"/>
        </w:rPr>
      </w:pPr>
      <w:r>
        <w:rPr>
          <w:rFonts w:hint="eastAsia"/>
          <w:b/>
          <w:szCs w:val="21"/>
        </w:rPr>
        <w:t>表2：</w:t>
      </w:r>
      <w:r>
        <w:rPr>
          <w:szCs w:val="21"/>
        </w:rPr>
        <w:t>临床试验需要的</w:t>
      </w:r>
      <w:r>
        <w:rPr>
          <w:rFonts w:hint="eastAsia"/>
          <w:szCs w:val="21"/>
        </w:rPr>
        <w:t>住院</w:t>
      </w:r>
      <w:r>
        <w:rPr>
          <w:szCs w:val="21"/>
        </w:rPr>
        <w:t>相关检查明细表</w:t>
      </w:r>
      <w:r>
        <w:rPr>
          <w:rFonts w:hint="eastAsia"/>
          <w:szCs w:val="21"/>
        </w:rPr>
        <w:t>（下表为单例明细，计划试验例数___例）</w:t>
      </w:r>
    </w:p>
    <w:tbl>
      <w:tblPr>
        <w:tblStyle w:val="11"/>
        <w:tblW w:w="916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6"/>
        <w:gridCol w:w="709"/>
        <w:gridCol w:w="425"/>
        <w:gridCol w:w="425"/>
        <w:gridCol w:w="425"/>
        <w:gridCol w:w="1144"/>
        <w:gridCol w:w="435"/>
        <w:gridCol w:w="1140"/>
        <w:gridCol w:w="1395"/>
        <w:gridCol w:w="1541"/>
      </w:tblGrid>
      <w:tr w14:paraId="612EB6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1526" w:type="dxa"/>
            <w:vMerge w:val="restart"/>
            <w:vAlign w:val="center"/>
          </w:tcPr>
          <w:p w14:paraId="276236D6">
            <w:pPr>
              <w:jc w:val="center"/>
              <w:rPr>
                <w:kern w:val="0"/>
                <w:szCs w:val="21"/>
              </w:rPr>
            </w:pPr>
            <w:r>
              <w:rPr>
                <w:kern w:val="0"/>
                <w:szCs w:val="21"/>
              </w:rPr>
              <w:t>检查项目</w:t>
            </w:r>
          </w:p>
        </w:tc>
        <w:tc>
          <w:tcPr>
            <w:tcW w:w="709" w:type="dxa"/>
            <w:vMerge w:val="restart"/>
            <w:vAlign w:val="center"/>
          </w:tcPr>
          <w:p w14:paraId="59E4341D">
            <w:pPr>
              <w:jc w:val="center"/>
              <w:rPr>
                <w:kern w:val="0"/>
                <w:szCs w:val="21"/>
              </w:rPr>
            </w:pPr>
            <w:r>
              <w:rPr>
                <w:kern w:val="0"/>
                <w:szCs w:val="21"/>
              </w:rPr>
              <w:t>单价</w:t>
            </w:r>
          </w:p>
          <w:p w14:paraId="5851F602">
            <w:pPr>
              <w:jc w:val="center"/>
              <w:rPr>
                <w:kern w:val="0"/>
                <w:sz w:val="15"/>
                <w:szCs w:val="15"/>
              </w:rPr>
            </w:pPr>
            <w:r>
              <w:rPr>
                <w:rFonts w:hint="eastAsia"/>
                <w:kern w:val="0"/>
                <w:sz w:val="15"/>
                <w:szCs w:val="15"/>
              </w:rPr>
              <w:t>（</w:t>
            </w:r>
            <w:r>
              <w:rPr>
                <w:kern w:val="0"/>
                <w:sz w:val="15"/>
                <w:szCs w:val="15"/>
              </w:rPr>
              <w:t>元/次</w:t>
            </w:r>
            <w:r>
              <w:rPr>
                <w:rFonts w:hint="eastAsia"/>
                <w:kern w:val="0"/>
                <w:sz w:val="15"/>
                <w:szCs w:val="15"/>
              </w:rPr>
              <w:t>）</w:t>
            </w:r>
          </w:p>
        </w:tc>
        <w:tc>
          <w:tcPr>
            <w:tcW w:w="2854" w:type="dxa"/>
            <w:gridSpan w:val="5"/>
            <w:vAlign w:val="center"/>
          </w:tcPr>
          <w:p w14:paraId="1DBE726E">
            <w:pPr>
              <w:jc w:val="center"/>
              <w:rPr>
                <w:kern w:val="0"/>
                <w:szCs w:val="21"/>
              </w:rPr>
            </w:pPr>
            <w:r>
              <w:rPr>
                <w:kern w:val="0"/>
                <w:szCs w:val="21"/>
              </w:rPr>
              <w:t>检查次数</w:t>
            </w:r>
            <w:r>
              <w:rPr>
                <w:rFonts w:hint="eastAsia"/>
                <w:kern w:val="0"/>
                <w:szCs w:val="21"/>
              </w:rPr>
              <w:t>（</w:t>
            </w:r>
            <w:r>
              <w:rPr>
                <w:kern w:val="0"/>
                <w:szCs w:val="21"/>
              </w:rPr>
              <w:t>次/人</w:t>
            </w:r>
            <w:r>
              <w:rPr>
                <w:rFonts w:hint="eastAsia"/>
                <w:kern w:val="0"/>
                <w:szCs w:val="21"/>
              </w:rPr>
              <w:t>）</w:t>
            </w:r>
          </w:p>
        </w:tc>
        <w:tc>
          <w:tcPr>
            <w:tcW w:w="1140" w:type="dxa"/>
            <w:vMerge w:val="restart"/>
            <w:vAlign w:val="center"/>
          </w:tcPr>
          <w:p w14:paraId="0743D39A">
            <w:pPr>
              <w:jc w:val="center"/>
              <w:rPr>
                <w:kern w:val="0"/>
                <w:szCs w:val="21"/>
              </w:rPr>
            </w:pPr>
            <w:r>
              <w:rPr>
                <w:kern w:val="0"/>
                <w:szCs w:val="21"/>
              </w:rPr>
              <w:t>合计检查次数</w:t>
            </w:r>
          </w:p>
        </w:tc>
        <w:tc>
          <w:tcPr>
            <w:tcW w:w="1395" w:type="dxa"/>
            <w:vMerge w:val="restart"/>
            <w:vAlign w:val="center"/>
          </w:tcPr>
          <w:p w14:paraId="4C8DCB26">
            <w:pPr>
              <w:jc w:val="center"/>
              <w:rPr>
                <w:kern w:val="0"/>
                <w:szCs w:val="21"/>
              </w:rPr>
            </w:pPr>
            <w:r>
              <w:rPr>
                <w:kern w:val="0"/>
                <w:szCs w:val="21"/>
              </w:rPr>
              <w:t>单项汇总金额</w:t>
            </w:r>
            <w:r>
              <w:rPr>
                <w:rFonts w:hint="eastAsia"/>
                <w:kern w:val="0"/>
                <w:szCs w:val="21"/>
              </w:rPr>
              <w:t>（</w:t>
            </w:r>
            <w:r>
              <w:rPr>
                <w:kern w:val="0"/>
                <w:szCs w:val="21"/>
              </w:rPr>
              <w:t>元</w:t>
            </w:r>
            <w:r>
              <w:rPr>
                <w:rFonts w:hint="eastAsia"/>
                <w:kern w:val="0"/>
                <w:szCs w:val="21"/>
              </w:rPr>
              <w:t>）</w:t>
            </w:r>
          </w:p>
        </w:tc>
        <w:tc>
          <w:tcPr>
            <w:tcW w:w="1541" w:type="dxa"/>
            <w:vMerge w:val="restart"/>
            <w:vAlign w:val="center"/>
          </w:tcPr>
          <w:p w14:paraId="7987E522">
            <w:pPr>
              <w:jc w:val="center"/>
              <w:rPr>
                <w:i/>
                <w:kern w:val="0"/>
                <w:szCs w:val="21"/>
              </w:rPr>
            </w:pPr>
            <w:r>
              <w:rPr>
                <w:i/>
                <w:kern w:val="0"/>
                <w:szCs w:val="21"/>
              </w:rPr>
              <w:t>备注</w:t>
            </w:r>
          </w:p>
        </w:tc>
      </w:tr>
      <w:tr w14:paraId="5ACD11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1526" w:type="dxa"/>
            <w:vMerge w:val="continue"/>
            <w:vAlign w:val="center"/>
          </w:tcPr>
          <w:p w14:paraId="7927D684">
            <w:pPr>
              <w:jc w:val="center"/>
              <w:rPr>
                <w:kern w:val="0"/>
                <w:szCs w:val="21"/>
              </w:rPr>
            </w:pPr>
          </w:p>
        </w:tc>
        <w:tc>
          <w:tcPr>
            <w:tcW w:w="709" w:type="dxa"/>
            <w:vMerge w:val="continue"/>
            <w:vAlign w:val="center"/>
          </w:tcPr>
          <w:p w14:paraId="6A579978">
            <w:pPr>
              <w:jc w:val="center"/>
              <w:rPr>
                <w:kern w:val="0"/>
                <w:szCs w:val="21"/>
              </w:rPr>
            </w:pPr>
          </w:p>
        </w:tc>
        <w:tc>
          <w:tcPr>
            <w:tcW w:w="425" w:type="dxa"/>
            <w:vAlign w:val="center"/>
          </w:tcPr>
          <w:p w14:paraId="2AC07293">
            <w:pPr>
              <w:jc w:val="center"/>
              <w:rPr>
                <w:kern w:val="0"/>
                <w:szCs w:val="21"/>
              </w:rPr>
            </w:pPr>
            <w:r>
              <w:rPr>
                <w:rFonts w:hint="eastAsia"/>
                <w:kern w:val="0"/>
                <w:szCs w:val="21"/>
              </w:rPr>
              <w:t>筛选期</w:t>
            </w:r>
          </w:p>
        </w:tc>
        <w:tc>
          <w:tcPr>
            <w:tcW w:w="425" w:type="dxa"/>
            <w:vAlign w:val="center"/>
          </w:tcPr>
          <w:p w14:paraId="72B6A626">
            <w:pPr>
              <w:jc w:val="center"/>
              <w:rPr>
                <w:kern w:val="0"/>
                <w:szCs w:val="21"/>
              </w:rPr>
            </w:pPr>
            <w:r>
              <w:rPr>
                <w:rFonts w:hint="eastAsia"/>
                <w:kern w:val="0"/>
                <w:szCs w:val="21"/>
              </w:rPr>
              <w:t>访视1</w:t>
            </w:r>
          </w:p>
        </w:tc>
        <w:tc>
          <w:tcPr>
            <w:tcW w:w="425" w:type="dxa"/>
            <w:vAlign w:val="center"/>
          </w:tcPr>
          <w:p w14:paraId="02640F97">
            <w:pPr>
              <w:jc w:val="center"/>
              <w:rPr>
                <w:kern w:val="0"/>
                <w:szCs w:val="21"/>
              </w:rPr>
            </w:pPr>
            <w:r>
              <w:rPr>
                <w:rFonts w:hint="eastAsia"/>
                <w:kern w:val="0"/>
                <w:szCs w:val="21"/>
              </w:rPr>
              <w:t>访视2</w:t>
            </w:r>
          </w:p>
        </w:tc>
        <w:tc>
          <w:tcPr>
            <w:tcW w:w="1144" w:type="dxa"/>
            <w:vAlign w:val="center"/>
          </w:tcPr>
          <w:p w14:paraId="0D3DD719">
            <w:pPr>
              <w:jc w:val="center"/>
              <w:rPr>
                <w:kern w:val="0"/>
                <w:szCs w:val="21"/>
              </w:rPr>
            </w:pPr>
            <w:r>
              <w:rPr>
                <w:rFonts w:hint="eastAsia"/>
                <w:kern w:val="0"/>
                <w:szCs w:val="21"/>
              </w:rPr>
              <w:t>...</w:t>
            </w:r>
          </w:p>
        </w:tc>
        <w:tc>
          <w:tcPr>
            <w:tcW w:w="435" w:type="dxa"/>
            <w:vAlign w:val="center"/>
          </w:tcPr>
          <w:p w14:paraId="1EC972D7">
            <w:pPr>
              <w:jc w:val="center"/>
              <w:rPr>
                <w:kern w:val="0"/>
                <w:szCs w:val="21"/>
              </w:rPr>
            </w:pPr>
            <w:r>
              <w:rPr>
                <w:rFonts w:hint="eastAsia"/>
                <w:kern w:val="0"/>
                <w:szCs w:val="21"/>
              </w:rPr>
              <w:t>完成期</w:t>
            </w:r>
          </w:p>
        </w:tc>
        <w:tc>
          <w:tcPr>
            <w:tcW w:w="1140" w:type="dxa"/>
            <w:vMerge w:val="continue"/>
            <w:vAlign w:val="center"/>
          </w:tcPr>
          <w:p w14:paraId="044F10FD">
            <w:pPr>
              <w:jc w:val="center"/>
              <w:rPr>
                <w:kern w:val="0"/>
                <w:szCs w:val="21"/>
              </w:rPr>
            </w:pPr>
          </w:p>
        </w:tc>
        <w:tc>
          <w:tcPr>
            <w:tcW w:w="1395" w:type="dxa"/>
            <w:vMerge w:val="continue"/>
            <w:vAlign w:val="center"/>
          </w:tcPr>
          <w:p w14:paraId="0775E567">
            <w:pPr>
              <w:jc w:val="center"/>
              <w:rPr>
                <w:kern w:val="0"/>
                <w:szCs w:val="21"/>
              </w:rPr>
            </w:pPr>
          </w:p>
        </w:tc>
        <w:tc>
          <w:tcPr>
            <w:tcW w:w="1541" w:type="dxa"/>
            <w:vMerge w:val="continue"/>
            <w:vAlign w:val="center"/>
          </w:tcPr>
          <w:p w14:paraId="118D2B57">
            <w:pPr>
              <w:jc w:val="center"/>
              <w:rPr>
                <w:kern w:val="0"/>
                <w:szCs w:val="21"/>
              </w:rPr>
            </w:pPr>
          </w:p>
        </w:tc>
      </w:tr>
      <w:tr w14:paraId="2C6121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tcPr>
          <w:p w14:paraId="11D5400F">
            <w:pPr>
              <w:rPr>
                <w:kern w:val="0"/>
                <w:szCs w:val="21"/>
              </w:rPr>
            </w:pPr>
            <w:r>
              <w:rPr>
                <w:rFonts w:hint="eastAsia"/>
                <w:kern w:val="0"/>
                <w:szCs w:val="21"/>
              </w:rPr>
              <w:t>尿常规</w:t>
            </w:r>
          </w:p>
        </w:tc>
        <w:tc>
          <w:tcPr>
            <w:tcW w:w="709" w:type="dxa"/>
          </w:tcPr>
          <w:p w14:paraId="2F7766E3">
            <w:pPr>
              <w:jc w:val="center"/>
              <w:rPr>
                <w:kern w:val="0"/>
                <w:szCs w:val="21"/>
              </w:rPr>
            </w:pPr>
            <w:r>
              <w:rPr>
                <w:rFonts w:hint="eastAsia"/>
                <w:kern w:val="0"/>
                <w:szCs w:val="21"/>
              </w:rPr>
              <w:t>**</w:t>
            </w:r>
          </w:p>
        </w:tc>
        <w:tc>
          <w:tcPr>
            <w:tcW w:w="425" w:type="dxa"/>
          </w:tcPr>
          <w:p w14:paraId="1F6D120D">
            <w:pPr>
              <w:jc w:val="center"/>
              <w:rPr>
                <w:kern w:val="0"/>
                <w:szCs w:val="21"/>
              </w:rPr>
            </w:pPr>
            <w:r>
              <w:rPr>
                <w:rFonts w:hint="eastAsia"/>
                <w:kern w:val="0"/>
                <w:szCs w:val="21"/>
              </w:rPr>
              <w:t>1</w:t>
            </w:r>
          </w:p>
        </w:tc>
        <w:tc>
          <w:tcPr>
            <w:tcW w:w="425" w:type="dxa"/>
          </w:tcPr>
          <w:p w14:paraId="3221A128">
            <w:pPr>
              <w:jc w:val="center"/>
              <w:rPr>
                <w:kern w:val="0"/>
                <w:szCs w:val="21"/>
              </w:rPr>
            </w:pPr>
            <w:r>
              <w:rPr>
                <w:rFonts w:hint="eastAsia"/>
                <w:kern w:val="0"/>
                <w:szCs w:val="21"/>
              </w:rPr>
              <w:t>1</w:t>
            </w:r>
          </w:p>
        </w:tc>
        <w:tc>
          <w:tcPr>
            <w:tcW w:w="425" w:type="dxa"/>
          </w:tcPr>
          <w:p w14:paraId="5A3155A1">
            <w:pPr>
              <w:jc w:val="center"/>
              <w:rPr>
                <w:kern w:val="0"/>
                <w:szCs w:val="21"/>
              </w:rPr>
            </w:pPr>
          </w:p>
        </w:tc>
        <w:tc>
          <w:tcPr>
            <w:tcW w:w="1144" w:type="dxa"/>
          </w:tcPr>
          <w:p w14:paraId="138F6D6C">
            <w:pPr>
              <w:jc w:val="center"/>
              <w:rPr>
                <w:kern w:val="0"/>
                <w:szCs w:val="21"/>
              </w:rPr>
            </w:pPr>
          </w:p>
        </w:tc>
        <w:tc>
          <w:tcPr>
            <w:tcW w:w="435" w:type="dxa"/>
          </w:tcPr>
          <w:p w14:paraId="045FDACF">
            <w:pPr>
              <w:jc w:val="center"/>
              <w:rPr>
                <w:kern w:val="0"/>
                <w:szCs w:val="21"/>
              </w:rPr>
            </w:pPr>
            <w:r>
              <w:rPr>
                <w:rFonts w:hint="eastAsia"/>
                <w:kern w:val="0"/>
                <w:szCs w:val="21"/>
              </w:rPr>
              <w:t>1</w:t>
            </w:r>
          </w:p>
        </w:tc>
        <w:tc>
          <w:tcPr>
            <w:tcW w:w="1140" w:type="dxa"/>
          </w:tcPr>
          <w:p w14:paraId="2E9C7D22">
            <w:pPr>
              <w:jc w:val="center"/>
              <w:rPr>
                <w:kern w:val="0"/>
                <w:szCs w:val="21"/>
              </w:rPr>
            </w:pPr>
            <w:r>
              <w:rPr>
                <w:rFonts w:hint="eastAsia"/>
                <w:kern w:val="0"/>
                <w:szCs w:val="21"/>
              </w:rPr>
              <w:t>3</w:t>
            </w:r>
          </w:p>
        </w:tc>
        <w:tc>
          <w:tcPr>
            <w:tcW w:w="1395" w:type="dxa"/>
          </w:tcPr>
          <w:p w14:paraId="0D6A8F9F">
            <w:pPr>
              <w:jc w:val="center"/>
              <w:rPr>
                <w:kern w:val="0"/>
                <w:szCs w:val="21"/>
              </w:rPr>
            </w:pPr>
            <w:r>
              <w:rPr>
                <w:rFonts w:hint="eastAsia"/>
                <w:kern w:val="0"/>
                <w:szCs w:val="21"/>
              </w:rPr>
              <w:t>**.**</w:t>
            </w:r>
          </w:p>
        </w:tc>
        <w:tc>
          <w:tcPr>
            <w:tcW w:w="1541" w:type="dxa"/>
          </w:tcPr>
          <w:p w14:paraId="602F693E">
            <w:pPr>
              <w:rPr>
                <w:kern w:val="0"/>
                <w:szCs w:val="21"/>
              </w:rPr>
            </w:pPr>
          </w:p>
        </w:tc>
      </w:tr>
      <w:tr w14:paraId="7BA511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tcPr>
          <w:p w14:paraId="07226646">
            <w:pPr>
              <w:rPr>
                <w:kern w:val="0"/>
                <w:szCs w:val="21"/>
              </w:rPr>
            </w:pPr>
            <w:r>
              <w:rPr>
                <w:rFonts w:hint="eastAsia"/>
                <w:kern w:val="0"/>
                <w:szCs w:val="21"/>
              </w:rPr>
              <w:t>血常规</w:t>
            </w:r>
          </w:p>
        </w:tc>
        <w:tc>
          <w:tcPr>
            <w:tcW w:w="709" w:type="dxa"/>
          </w:tcPr>
          <w:p w14:paraId="7F4B7374">
            <w:pPr>
              <w:jc w:val="center"/>
              <w:rPr>
                <w:kern w:val="0"/>
                <w:szCs w:val="21"/>
              </w:rPr>
            </w:pPr>
            <w:r>
              <w:rPr>
                <w:rFonts w:hint="eastAsia"/>
                <w:kern w:val="0"/>
                <w:szCs w:val="21"/>
              </w:rPr>
              <w:t>**</w:t>
            </w:r>
          </w:p>
        </w:tc>
        <w:tc>
          <w:tcPr>
            <w:tcW w:w="425" w:type="dxa"/>
          </w:tcPr>
          <w:p w14:paraId="2F3B8B7D">
            <w:pPr>
              <w:jc w:val="center"/>
              <w:rPr>
                <w:kern w:val="0"/>
                <w:szCs w:val="21"/>
              </w:rPr>
            </w:pPr>
            <w:r>
              <w:rPr>
                <w:rFonts w:hint="eastAsia"/>
                <w:kern w:val="0"/>
                <w:szCs w:val="21"/>
              </w:rPr>
              <w:t>1</w:t>
            </w:r>
          </w:p>
        </w:tc>
        <w:tc>
          <w:tcPr>
            <w:tcW w:w="425" w:type="dxa"/>
          </w:tcPr>
          <w:p w14:paraId="2DD2842A">
            <w:pPr>
              <w:jc w:val="center"/>
              <w:rPr>
                <w:kern w:val="0"/>
                <w:szCs w:val="21"/>
              </w:rPr>
            </w:pPr>
            <w:r>
              <w:rPr>
                <w:rFonts w:hint="eastAsia"/>
                <w:kern w:val="0"/>
                <w:szCs w:val="21"/>
              </w:rPr>
              <w:t>1</w:t>
            </w:r>
          </w:p>
        </w:tc>
        <w:tc>
          <w:tcPr>
            <w:tcW w:w="425" w:type="dxa"/>
          </w:tcPr>
          <w:p w14:paraId="76C1D9A5">
            <w:pPr>
              <w:jc w:val="center"/>
              <w:rPr>
                <w:kern w:val="0"/>
                <w:szCs w:val="21"/>
              </w:rPr>
            </w:pPr>
          </w:p>
        </w:tc>
        <w:tc>
          <w:tcPr>
            <w:tcW w:w="1144" w:type="dxa"/>
          </w:tcPr>
          <w:p w14:paraId="6D7659D4">
            <w:pPr>
              <w:jc w:val="center"/>
              <w:rPr>
                <w:kern w:val="0"/>
                <w:szCs w:val="21"/>
              </w:rPr>
            </w:pPr>
          </w:p>
        </w:tc>
        <w:tc>
          <w:tcPr>
            <w:tcW w:w="435" w:type="dxa"/>
          </w:tcPr>
          <w:p w14:paraId="53A69A56">
            <w:pPr>
              <w:jc w:val="center"/>
              <w:rPr>
                <w:kern w:val="0"/>
                <w:szCs w:val="21"/>
              </w:rPr>
            </w:pPr>
            <w:r>
              <w:rPr>
                <w:rFonts w:hint="eastAsia"/>
                <w:kern w:val="0"/>
                <w:szCs w:val="21"/>
              </w:rPr>
              <w:t>1</w:t>
            </w:r>
          </w:p>
        </w:tc>
        <w:tc>
          <w:tcPr>
            <w:tcW w:w="1140" w:type="dxa"/>
          </w:tcPr>
          <w:p w14:paraId="7693F4C2">
            <w:pPr>
              <w:jc w:val="center"/>
              <w:rPr>
                <w:kern w:val="0"/>
                <w:szCs w:val="21"/>
              </w:rPr>
            </w:pPr>
            <w:r>
              <w:rPr>
                <w:rFonts w:hint="eastAsia"/>
                <w:kern w:val="0"/>
                <w:szCs w:val="21"/>
              </w:rPr>
              <w:t>3</w:t>
            </w:r>
          </w:p>
        </w:tc>
        <w:tc>
          <w:tcPr>
            <w:tcW w:w="1395" w:type="dxa"/>
          </w:tcPr>
          <w:p w14:paraId="23997274">
            <w:pPr>
              <w:jc w:val="center"/>
              <w:rPr>
                <w:kern w:val="0"/>
                <w:szCs w:val="21"/>
              </w:rPr>
            </w:pPr>
            <w:r>
              <w:rPr>
                <w:rFonts w:hint="eastAsia"/>
                <w:kern w:val="0"/>
                <w:szCs w:val="21"/>
              </w:rPr>
              <w:t>**.**</w:t>
            </w:r>
          </w:p>
        </w:tc>
        <w:tc>
          <w:tcPr>
            <w:tcW w:w="1541" w:type="dxa"/>
          </w:tcPr>
          <w:p w14:paraId="59E91304">
            <w:pPr>
              <w:rPr>
                <w:kern w:val="0"/>
                <w:szCs w:val="21"/>
              </w:rPr>
            </w:pPr>
          </w:p>
        </w:tc>
      </w:tr>
      <w:tr w14:paraId="1D697B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tcPr>
          <w:p w14:paraId="4C497A87">
            <w:pPr>
              <w:rPr>
                <w:kern w:val="0"/>
                <w:szCs w:val="21"/>
              </w:rPr>
            </w:pPr>
            <w:r>
              <w:rPr>
                <w:rFonts w:hint="eastAsia"/>
                <w:kern w:val="0"/>
                <w:szCs w:val="21"/>
              </w:rPr>
              <w:t>...</w:t>
            </w:r>
          </w:p>
        </w:tc>
        <w:tc>
          <w:tcPr>
            <w:tcW w:w="709" w:type="dxa"/>
          </w:tcPr>
          <w:p w14:paraId="317325DE">
            <w:pPr>
              <w:jc w:val="center"/>
              <w:rPr>
                <w:kern w:val="0"/>
                <w:szCs w:val="21"/>
              </w:rPr>
            </w:pPr>
          </w:p>
        </w:tc>
        <w:tc>
          <w:tcPr>
            <w:tcW w:w="425" w:type="dxa"/>
          </w:tcPr>
          <w:p w14:paraId="0742CC48">
            <w:pPr>
              <w:jc w:val="center"/>
              <w:rPr>
                <w:kern w:val="0"/>
                <w:szCs w:val="21"/>
              </w:rPr>
            </w:pPr>
          </w:p>
        </w:tc>
        <w:tc>
          <w:tcPr>
            <w:tcW w:w="425" w:type="dxa"/>
          </w:tcPr>
          <w:p w14:paraId="583174E3">
            <w:pPr>
              <w:jc w:val="center"/>
              <w:rPr>
                <w:kern w:val="0"/>
                <w:szCs w:val="21"/>
              </w:rPr>
            </w:pPr>
          </w:p>
        </w:tc>
        <w:tc>
          <w:tcPr>
            <w:tcW w:w="425" w:type="dxa"/>
          </w:tcPr>
          <w:p w14:paraId="4CE1799C">
            <w:pPr>
              <w:jc w:val="center"/>
              <w:rPr>
                <w:kern w:val="0"/>
                <w:szCs w:val="21"/>
              </w:rPr>
            </w:pPr>
          </w:p>
        </w:tc>
        <w:tc>
          <w:tcPr>
            <w:tcW w:w="1144" w:type="dxa"/>
          </w:tcPr>
          <w:p w14:paraId="5AFDA31D">
            <w:pPr>
              <w:jc w:val="center"/>
              <w:rPr>
                <w:kern w:val="0"/>
                <w:szCs w:val="21"/>
              </w:rPr>
            </w:pPr>
          </w:p>
        </w:tc>
        <w:tc>
          <w:tcPr>
            <w:tcW w:w="435" w:type="dxa"/>
          </w:tcPr>
          <w:p w14:paraId="14413FA8">
            <w:pPr>
              <w:jc w:val="center"/>
              <w:rPr>
                <w:kern w:val="0"/>
                <w:szCs w:val="21"/>
              </w:rPr>
            </w:pPr>
          </w:p>
        </w:tc>
        <w:tc>
          <w:tcPr>
            <w:tcW w:w="1140" w:type="dxa"/>
          </w:tcPr>
          <w:p w14:paraId="03A6F8D6">
            <w:pPr>
              <w:jc w:val="center"/>
              <w:rPr>
                <w:kern w:val="0"/>
                <w:szCs w:val="21"/>
              </w:rPr>
            </w:pPr>
          </w:p>
        </w:tc>
        <w:tc>
          <w:tcPr>
            <w:tcW w:w="1395" w:type="dxa"/>
          </w:tcPr>
          <w:p w14:paraId="0232FA51">
            <w:pPr>
              <w:jc w:val="center"/>
              <w:rPr>
                <w:kern w:val="0"/>
                <w:szCs w:val="21"/>
              </w:rPr>
            </w:pPr>
          </w:p>
        </w:tc>
        <w:tc>
          <w:tcPr>
            <w:tcW w:w="1541" w:type="dxa"/>
          </w:tcPr>
          <w:p w14:paraId="0786080E">
            <w:pPr>
              <w:rPr>
                <w:kern w:val="0"/>
                <w:szCs w:val="21"/>
              </w:rPr>
            </w:pPr>
          </w:p>
        </w:tc>
      </w:tr>
      <w:tr w14:paraId="475706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tcPr>
          <w:p w14:paraId="1BC7C129">
            <w:pPr>
              <w:rPr>
                <w:kern w:val="0"/>
                <w:szCs w:val="21"/>
              </w:rPr>
            </w:pPr>
            <w:r>
              <w:rPr>
                <w:rFonts w:hint="eastAsia"/>
                <w:kern w:val="0"/>
                <w:szCs w:val="21"/>
              </w:rPr>
              <w:t>床位费</w:t>
            </w:r>
          </w:p>
        </w:tc>
        <w:tc>
          <w:tcPr>
            <w:tcW w:w="709" w:type="dxa"/>
          </w:tcPr>
          <w:p w14:paraId="2FCB9519">
            <w:pPr>
              <w:jc w:val="center"/>
              <w:rPr>
                <w:kern w:val="0"/>
                <w:szCs w:val="21"/>
              </w:rPr>
            </w:pPr>
          </w:p>
        </w:tc>
        <w:tc>
          <w:tcPr>
            <w:tcW w:w="425" w:type="dxa"/>
          </w:tcPr>
          <w:p w14:paraId="024AA40E">
            <w:pPr>
              <w:jc w:val="center"/>
              <w:rPr>
                <w:kern w:val="0"/>
                <w:szCs w:val="21"/>
              </w:rPr>
            </w:pPr>
          </w:p>
        </w:tc>
        <w:tc>
          <w:tcPr>
            <w:tcW w:w="425" w:type="dxa"/>
          </w:tcPr>
          <w:p w14:paraId="4A054594">
            <w:pPr>
              <w:jc w:val="center"/>
              <w:rPr>
                <w:kern w:val="0"/>
                <w:szCs w:val="21"/>
              </w:rPr>
            </w:pPr>
          </w:p>
        </w:tc>
        <w:tc>
          <w:tcPr>
            <w:tcW w:w="425" w:type="dxa"/>
          </w:tcPr>
          <w:p w14:paraId="0925E264">
            <w:pPr>
              <w:jc w:val="center"/>
              <w:rPr>
                <w:kern w:val="0"/>
                <w:szCs w:val="21"/>
              </w:rPr>
            </w:pPr>
          </w:p>
        </w:tc>
        <w:tc>
          <w:tcPr>
            <w:tcW w:w="1144" w:type="dxa"/>
          </w:tcPr>
          <w:p w14:paraId="6B3F9B5C">
            <w:pPr>
              <w:jc w:val="center"/>
              <w:rPr>
                <w:kern w:val="0"/>
                <w:szCs w:val="21"/>
              </w:rPr>
            </w:pPr>
          </w:p>
        </w:tc>
        <w:tc>
          <w:tcPr>
            <w:tcW w:w="435" w:type="dxa"/>
          </w:tcPr>
          <w:p w14:paraId="5873E1EC">
            <w:pPr>
              <w:jc w:val="center"/>
              <w:rPr>
                <w:kern w:val="0"/>
                <w:szCs w:val="21"/>
              </w:rPr>
            </w:pPr>
          </w:p>
        </w:tc>
        <w:tc>
          <w:tcPr>
            <w:tcW w:w="1140" w:type="dxa"/>
          </w:tcPr>
          <w:p w14:paraId="1BF4F785">
            <w:pPr>
              <w:jc w:val="center"/>
              <w:rPr>
                <w:kern w:val="0"/>
                <w:szCs w:val="21"/>
              </w:rPr>
            </w:pPr>
          </w:p>
        </w:tc>
        <w:tc>
          <w:tcPr>
            <w:tcW w:w="1395" w:type="dxa"/>
          </w:tcPr>
          <w:p w14:paraId="0D6E7CB2">
            <w:pPr>
              <w:jc w:val="center"/>
              <w:rPr>
                <w:kern w:val="0"/>
                <w:szCs w:val="21"/>
              </w:rPr>
            </w:pPr>
          </w:p>
        </w:tc>
        <w:tc>
          <w:tcPr>
            <w:tcW w:w="1541" w:type="dxa"/>
          </w:tcPr>
          <w:p w14:paraId="1428B4A6">
            <w:pPr>
              <w:rPr>
                <w:kern w:val="0"/>
                <w:szCs w:val="21"/>
              </w:rPr>
            </w:pPr>
          </w:p>
        </w:tc>
      </w:tr>
      <w:tr w14:paraId="386121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tcPr>
          <w:p w14:paraId="5D9DE188">
            <w:pPr>
              <w:rPr>
                <w:kern w:val="0"/>
                <w:sz w:val="18"/>
                <w:szCs w:val="18"/>
              </w:rPr>
            </w:pPr>
            <w:r>
              <w:rPr>
                <w:rFonts w:hint="eastAsia"/>
                <w:kern w:val="0"/>
                <w:sz w:val="18"/>
                <w:szCs w:val="18"/>
              </w:rPr>
              <w:t>取暖费/空调费</w:t>
            </w:r>
          </w:p>
        </w:tc>
        <w:tc>
          <w:tcPr>
            <w:tcW w:w="709" w:type="dxa"/>
          </w:tcPr>
          <w:p w14:paraId="5076EDFA">
            <w:pPr>
              <w:jc w:val="center"/>
              <w:rPr>
                <w:kern w:val="0"/>
                <w:szCs w:val="21"/>
              </w:rPr>
            </w:pPr>
          </w:p>
        </w:tc>
        <w:tc>
          <w:tcPr>
            <w:tcW w:w="425" w:type="dxa"/>
          </w:tcPr>
          <w:p w14:paraId="1B5AAFB6">
            <w:pPr>
              <w:jc w:val="center"/>
              <w:rPr>
                <w:kern w:val="0"/>
                <w:szCs w:val="21"/>
              </w:rPr>
            </w:pPr>
          </w:p>
        </w:tc>
        <w:tc>
          <w:tcPr>
            <w:tcW w:w="425" w:type="dxa"/>
          </w:tcPr>
          <w:p w14:paraId="24331E0D">
            <w:pPr>
              <w:jc w:val="center"/>
              <w:rPr>
                <w:kern w:val="0"/>
                <w:szCs w:val="21"/>
              </w:rPr>
            </w:pPr>
          </w:p>
        </w:tc>
        <w:tc>
          <w:tcPr>
            <w:tcW w:w="425" w:type="dxa"/>
          </w:tcPr>
          <w:p w14:paraId="19E6820B">
            <w:pPr>
              <w:jc w:val="center"/>
              <w:rPr>
                <w:kern w:val="0"/>
                <w:szCs w:val="21"/>
              </w:rPr>
            </w:pPr>
          </w:p>
        </w:tc>
        <w:tc>
          <w:tcPr>
            <w:tcW w:w="1144" w:type="dxa"/>
          </w:tcPr>
          <w:p w14:paraId="296D9EE1">
            <w:pPr>
              <w:jc w:val="center"/>
              <w:rPr>
                <w:kern w:val="0"/>
                <w:szCs w:val="21"/>
              </w:rPr>
            </w:pPr>
          </w:p>
        </w:tc>
        <w:tc>
          <w:tcPr>
            <w:tcW w:w="435" w:type="dxa"/>
          </w:tcPr>
          <w:p w14:paraId="1895563D">
            <w:pPr>
              <w:jc w:val="center"/>
              <w:rPr>
                <w:kern w:val="0"/>
                <w:szCs w:val="21"/>
              </w:rPr>
            </w:pPr>
          </w:p>
        </w:tc>
        <w:tc>
          <w:tcPr>
            <w:tcW w:w="1140" w:type="dxa"/>
          </w:tcPr>
          <w:p w14:paraId="1D36641A">
            <w:pPr>
              <w:jc w:val="center"/>
              <w:rPr>
                <w:kern w:val="0"/>
                <w:szCs w:val="21"/>
              </w:rPr>
            </w:pPr>
          </w:p>
        </w:tc>
        <w:tc>
          <w:tcPr>
            <w:tcW w:w="1395" w:type="dxa"/>
          </w:tcPr>
          <w:p w14:paraId="29D506B3">
            <w:pPr>
              <w:jc w:val="center"/>
              <w:rPr>
                <w:kern w:val="0"/>
                <w:szCs w:val="21"/>
              </w:rPr>
            </w:pPr>
          </w:p>
        </w:tc>
        <w:tc>
          <w:tcPr>
            <w:tcW w:w="1541" w:type="dxa"/>
          </w:tcPr>
          <w:p w14:paraId="7FC0E1A7">
            <w:pPr>
              <w:rPr>
                <w:kern w:val="0"/>
                <w:szCs w:val="21"/>
              </w:rPr>
            </w:pPr>
          </w:p>
        </w:tc>
      </w:tr>
      <w:tr w14:paraId="4F025C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29" w:type="dxa"/>
            <w:gridSpan w:val="8"/>
          </w:tcPr>
          <w:p w14:paraId="6B0C8686">
            <w:pPr>
              <w:jc w:val="right"/>
              <w:rPr>
                <w:b/>
                <w:kern w:val="0"/>
                <w:szCs w:val="21"/>
              </w:rPr>
            </w:pPr>
            <w:r>
              <w:rPr>
                <w:rFonts w:hint="eastAsia"/>
                <w:b/>
                <w:kern w:val="0"/>
                <w:szCs w:val="21"/>
              </w:rPr>
              <w:t>单例合计检查费</w:t>
            </w:r>
          </w:p>
        </w:tc>
        <w:tc>
          <w:tcPr>
            <w:tcW w:w="2936" w:type="dxa"/>
            <w:gridSpan w:val="2"/>
          </w:tcPr>
          <w:p w14:paraId="2CAFCA4A">
            <w:pPr>
              <w:rPr>
                <w:kern w:val="0"/>
                <w:szCs w:val="21"/>
              </w:rPr>
            </w:pPr>
            <w:r>
              <w:rPr>
                <w:rFonts w:hint="eastAsia"/>
                <w:b/>
                <w:kern w:val="0"/>
                <w:szCs w:val="21"/>
              </w:rPr>
              <w:t>**.**</w:t>
            </w:r>
          </w:p>
        </w:tc>
      </w:tr>
    </w:tbl>
    <w:p w14:paraId="1359E6E9">
      <w:pPr>
        <w:spacing w:line="360" w:lineRule="auto"/>
        <w:ind w:firstLine="420" w:firstLineChars="200"/>
        <w:rPr>
          <w:szCs w:val="21"/>
        </w:rPr>
      </w:pPr>
      <w:r>
        <w:rPr>
          <w:rFonts w:hint="eastAsia"/>
          <w:szCs w:val="21"/>
        </w:rPr>
        <w:t>备注：</w:t>
      </w:r>
    </w:p>
    <w:p w14:paraId="61BC5146">
      <w:pPr>
        <w:numPr>
          <w:ilvl w:val="0"/>
          <w:numId w:val="6"/>
        </w:numPr>
        <w:spacing w:line="360" w:lineRule="auto"/>
        <w:ind w:left="0" w:firstLine="420" w:firstLineChars="200"/>
        <w:rPr>
          <w:szCs w:val="21"/>
        </w:rPr>
      </w:pPr>
      <w:r>
        <w:rPr>
          <w:rFonts w:hint="eastAsia"/>
          <w:szCs w:val="21"/>
        </w:rPr>
        <w:t>所有合同中均应按照此表格详细计算检查费用，检查次数需根据每一次筛选或访视详细列出；</w:t>
      </w:r>
    </w:p>
    <w:p w14:paraId="0F5EC0A2">
      <w:pPr>
        <w:numPr>
          <w:ilvl w:val="0"/>
          <w:numId w:val="6"/>
        </w:numPr>
        <w:spacing w:line="360" w:lineRule="auto"/>
        <w:ind w:left="0" w:firstLine="420" w:firstLineChars="200"/>
        <w:rPr>
          <w:szCs w:val="21"/>
        </w:rPr>
      </w:pPr>
      <w:r>
        <w:rPr>
          <w:rFonts w:hint="eastAsia"/>
          <w:szCs w:val="21"/>
        </w:rPr>
        <w:t>费用结算时以实际检查受试者例次为准；</w:t>
      </w:r>
    </w:p>
    <w:p w14:paraId="31043A5A">
      <w:pPr>
        <w:numPr>
          <w:ilvl w:val="0"/>
          <w:numId w:val="6"/>
        </w:numPr>
        <w:spacing w:line="360" w:lineRule="auto"/>
        <w:ind w:left="0" w:firstLine="420" w:firstLineChars="200"/>
        <w:rPr>
          <w:szCs w:val="21"/>
        </w:rPr>
      </w:pPr>
      <w:r>
        <w:rPr>
          <w:rFonts w:hint="eastAsia"/>
          <w:szCs w:val="21"/>
        </w:rPr>
        <w:t>项目预算时务必由甲方与主要研究者一起确定好确切的检查项目与收费价格，并填写好上述信息，一旦因检查项目信息有差异导致检查费用超支，超支部分由甲方补充；试验结束后由甲方与研究者一起计算最终的检查费用，多退少补。</w:t>
      </w:r>
    </w:p>
    <w:p w14:paraId="28590437"/>
    <w:sectPr>
      <w:pgSz w:w="11906" w:h="16838"/>
      <w:pgMar w:top="1440" w:right="1417" w:bottom="1440" w:left="1417" w:header="851" w:footer="992" w:gutter="0"/>
      <w:pgBorders w:offsetFrom="page">
        <w:top w:val="single" w:color="000000" w:themeColor="text1" w:sz="4" w:space="24"/>
        <w:bottom w:val="single" w:color="000000" w:themeColor="text1" w:sz="4" w:space="24"/>
      </w:pgBorders>
      <w:cols w:space="425" w:num="1"/>
      <w:docGrid w:type="lines" w:linePitch="312" w:charSpace="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comment w:id="0" w:author="果子" w:date="2023-04-03T10:04:00Z" w:initials="">
    <w:p w14:paraId="0FAF4D16">
      <w:pPr>
        <w:spacing w:line="360" w:lineRule="auto"/>
      </w:pPr>
      <w:r>
        <w:rPr>
          <w:rFonts w:hint="eastAsia" w:ascii="宋体" w:hAnsi="宋体"/>
          <w:i/>
          <w:color w:val="FF0000"/>
          <w:szCs w:val="21"/>
        </w:rPr>
        <w:t>凡是在乙方开展的临床试验，均应按照本模板进行合同签署，如果甲方提出必须按照甲方的模板签署协议，甲方应提供说明保证在全国各中心均使用甲方的合同模板，并且甲方应逐条核对本模板的内容，将本合同内容（包括且不限于）在甲方合同模板中体现出来。</w:t>
      </w:r>
    </w:p>
  </w:comment>
  <w:comment w:id="1" w:author="果子" w:date="2023-04-03T10:52:00Z" w:initials="">
    <w:p w14:paraId="24534D78">
      <w:pPr>
        <w:widowControl/>
        <w:tabs>
          <w:tab w:val="left" w:pos="720"/>
        </w:tabs>
        <w:spacing w:line="420" w:lineRule="exact"/>
        <w:ind w:firstLine="210" w:firstLineChars="100"/>
        <w:jc w:val="left"/>
      </w:pPr>
      <w:r>
        <w:rPr>
          <w:rFonts w:hint="eastAsia" w:ascii="宋体" w:hAnsi="宋体"/>
          <w:szCs w:val="21"/>
        </w:rPr>
        <w:t>汇款时请注明药物临床试验的简称</w:t>
      </w:r>
    </w:p>
  </w:comment>
  <w:comment w:id="2" w:author="Y.Xi" w:date="2024-07-02T15:41:29Z" w:initials="">
    <w:p w14:paraId="771D4C4F">
      <w:pPr>
        <w:pStyle w:val="4"/>
        <w:rPr>
          <w:rFonts w:hint="default" w:eastAsia="宋体"/>
          <w:lang w:val="en-US" w:eastAsia="zh-CN"/>
        </w:rPr>
      </w:pPr>
      <w:r>
        <w:rPr>
          <w:rFonts w:hint="eastAsia"/>
          <w:lang w:val="en-US" w:eastAsia="zh-CN"/>
        </w:rPr>
        <w:t>红字打印时删除。</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0FAF4D16" w15:done="0"/>
  <w15:commentEx w15:paraId="24534D78" w15:done="0"/>
  <w15:commentEx w15:paraId="771D4C4F"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幼圆">
    <w:altName w:val="宋体"/>
    <w:panose1 w:val="020B0604020202020204"/>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BFA934">
    <w:pPr>
      <w:pStyle w:val="7"/>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974725" cy="147955"/>
              <wp:effectExtent l="0" t="0" r="0" b="0"/>
              <wp:wrapNone/>
              <wp:docPr id="2" name="文本框 1"/>
              <wp:cNvGraphicFramePr/>
              <a:graphic xmlns:a="http://schemas.openxmlformats.org/drawingml/2006/main">
                <a:graphicData uri="http://schemas.microsoft.com/office/word/2010/wordprocessingShape">
                  <wps:wsp>
                    <wps:cNvSpPr txBox="1"/>
                    <wps:spPr>
                      <a:xfrm>
                        <a:off x="0" y="0"/>
                        <a:ext cx="974725" cy="147955"/>
                      </a:xfrm>
                      <a:prstGeom prst="rect">
                        <a:avLst/>
                      </a:prstGeom>
                      <a:noFill/>
                      <a:ln>
                        <a:noFill/>
                      </a:ln>
                    </wps:spPr>
                    <wps:txbx>
                      <w:txbxContent>
                        <w:p w14:paraId="766B54DB">
                          <w:pPr>
                            <w:pStyle w:val="7"/>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14</w:t>
                          </w:r>
                          <w:r>
                            <w:fldChar w:fldCharType="end"/>
                          </w:r>
                          <w:r>
                            <w:t xml:space="preserve"> 页</w:t>
                          </w:r>
                        </w:p>
                      </w:txbxContent>
                    </wps:txbx>
                    <wps:bodyPr wrap="none" lIns="0" tIns="0" rIns="0" bIns="0" anchor="t" anchorCtr="0" upright="1">
                      <a:spAutoFit/>
                    </wps:bodyPr>
                  </wps:wsp>
                </a:graphicData>
              </a:graphic>
            </wp:anchor>
          </w:drawing>
        </mc:Choice>
        <mc:Fallback>
          <w:pict>
            <v:shape id="文本框 1" o:spid="_x0000_s1026" o:spt="202" type="#_x0000_t202" style="position:absolute;left:0pt;margin-top:0pt;height:11.65pt;width:76.75pt;mso-position-horizontal:center;mso-position-horizontal-relative:margin;mso-wrap-style:none;z-index:251659264;mso-width-relative:page;mso-height-relative:page;" filled="f" stroked="f" coordsize="21600,21600" o:gfxdata="UEsDBAoAAAAAAIdO4kAAAAAAAAAAAAAAAAAEAAAAZHJzL1BLAwQUAAAACACHTuJAcfblsdIAAAAE&#10;AQAADwAAAGRycy9kb3ducmV2LnhtbE2PwU7DMBBE70j9B2srcaNOGxWqEKeHSly4URASt228jSPs&#10;dWS7afL3uFzgstJoRjNv6/3krBgpxN6zgvWqAEHcet1zp+Dj/eVhByImZI3WMymYKcK+WdzVWGl/&#10;5Tcaj6kTuYRjhQpMSkMlZWwNOYwrPxBn7+yDw5Rl6KQOeM3lzspNUTxKhz3nBYMDHQy138eLU/A0&#10;fXoaIh3o6zy2wfTzzr7OSt0v18UziERT+gvDDT+jQ5OZTv7COgqrID+Sfu/N25ZbECcFm7IE2dTy&#10;P3zzA1BLAwQUAAAACACHTuJAe0dZStsBAACwAwAADgAAAGRycy9lMm9Eb2MueG1srVPNjtMwEL4j&#10;8Q6W7zRNtaVs1HQFVIuQECAtPIDr2I0l/8meNukLwBtw4sKd5+pz7NhJurBc9sDFmYwn33zfN5P1&#10;TW80OYoQlbM1LWdzSoTlrlF2X9OvX25fvKIkArMN086Kmp5EpDeb58/Wna/EwrVONyIQBLGx6nxN&#10;WwBfFUXkrTAszpwXFi+lC4YBvoZ90QTWIbrRxWI+f1l0LjQ+OC5ixOx2uKQjYngKoJNScbF1/GCE&#10;hQE1CM0AJcVW+Ug3ma2UgsMnKaMAomuKSiGf2ATjXTqLzZpV+8B8q/hIgT2FwiNNhimLTS9QWwaM&#10;HIL6B8ooHlx0EmbcmWIQkh1BFeX8kTd3LfMia0Gro7+YHv8fLP94/ByIamq6oMQygwM///h+/vn7&#10;/OsbKZM9nY8VVt15rIP+jetxaaZ8xGRS3ctg0hP1ELxHc08Xc0UPhGPyenW1Wiwp4XhVXq2ul8uE&#10;Ujx87EOEd8IZkoKaBpxdtpQdP0QYSqeS1Mu6W6V1np+2fyUQM2WKxHxgmCLod/0oZ+eaE6rpcOw1&#10;tbjllOj3Fl1NGzIFYQp2U8Asbx3uDlAyhG9h2KSDD2rfIucyE47+9QGQXSadWg/9RkY4yCx7XLq0&#10;KX++56qHH21zD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HH25bHSAAAABAEAAA8AAAAAAAAAAQAg&#10;AAAAIgAAAGRycy9kb3ducmV2LnhtbFBLAQIUABQAAAAIAIdO4kB7R1lK2wEAALADAAAOAAAAAAAA&#10;AAEAIAAAACEBAABkcnMvZTJvRG9jLnhtbFBLBQYAAAAABgAGAFkBAABuBQAAAAA=&#10;">
              <v:fill on="f" focussize="0,0"/>
              <v:stroke on="f"/>
              <v:imagedata o:title=""/>
              <o:lock v:ext="edit" aspectratio="f"/>
              <v:textbox inset="0mm,0mm,0mm,0mm" style="mso-fit-shape-to-text:t;">
                <w:txbxContent>
                  <w:p w14:paraId="766B54DB">
                    <w:pPr>
                      <w:pStyle w:val="7"/>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14</w:t>
                    </w:r>
                    <w:r>
                      <w:fldChar w:fldCharType="end"/>
                    </w:r>
                    <w:r>
                      <w:t xml:space="preserve"> 页</w:t>
                    </w:r>
                  </w:p>
                </w:txbxContent>
              </v:textbox>
            </v:shape>
          </w:pict>
        </mc:Fallback>
      </mc:AlternateContent>
    </w:r>
  </w:p>
  <w:p w14:paraId="11E9E9BD">
    <w:pPr>
      <w:pStyle w:val="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84379B">
    <w:pPr>
      <w:pStyle w:val="7"/>
      <w:jc w:val="right"/>
    </w:pPr>
    <w:r>
      <w:rPr>
        <w:rStyle w:val="14"/>
        <w:rFonts w:hint="eastAsia" w:ascii="宋体" w:hAnsi="宋体"/>
      </w:rPr>
      <w:t>第</w:t>
    </w:r>
    <w:r>
      <w:rPr>
        <w:rStyle w:val="14"/>
        <w:rFonts w:ascii="宋体" w:hAnsi="宋体"/>
      </w:rPr>
      <w:fldChar w:fldCharType="begin"/>
    </w:r>
    <w:r>
      <w:rPr>
        <w:rStyle w:val="14"/>
        <w:rFonts w:ascii="宋体" w:hAnsi="宋体"/>
      </w:rPr>
      <w:instrText xml:space="preserve"> PAGE </w:instrText>
    </w:r>
    <w:r>
      <w:rPr>
        <w:rStyle w:val="14"/>
        <w:rFonts w:ascii="宋体" w:hAnsi="宋体"/>
      </w:rPr>
      <w:fldChar w:fldCharType="separate"/>
    </w:r>
    <w:r>
      <w:rPr>
        <w:rStyle w:val="14"/>
        <w:rFonts w:ascii="宋体" w:hAnsi="宋体"/>
      </w:rPr>
      <w:t>115</w:t>
    </w:r>
    <w:r>
      <w:rPr>
        <w:rStyle w:val="14"/>
        <w:rFonts w:ascii="宋体" w:hAnsi="宋体"/>
      </w:rPr>
      <w:fldChar w:fldCharType="end"/>
    </w:r>
    <w:r>
      <w:rPr>
        <w:rStyle w:val="14"/>
        <w:rFonts w:hint="eastAsia" w:ascii="宋体" w:hAnsi="宋体"/>
      </w:rPr>
      <w:t>页共</w:t>
    </w:r>
    <w:r>
      <w:rPr>
        <w:rStyle w:val="14"/>
        <w:rFonts w:ascii="宋体" w:hAnsi="宋体"/>
      </w:rPr>
      <w:fldChar w:fldCharType="begin"/>
    </w:r>
    <w:r>
      <w:rPr>
        <w:rStyle w:val="14"/>
        <w:rFonts w:ascii="宋体" w:hAnsi="宋体"/>
      </w:rPr>
      <w:instrText xml:space="preserve"> NUMPAGES </w:instrText>
    </w:r>
    <w:r>
      <w:rPr>
        <w:rStyle w:val="14"/>
        <w:rFonts w:ascii="宋体" w:hAnsi="宋体"/>
      </w:rPr>
      <w:fldChar w:fldCharType="separate"/>
    </w:r>
    <w:r>
      <w:rPr>
        <w:rStyle w:val="14"/>
        <w:rFonts w:ascii="宋体" w:hAnsi="宋体"/>
      </w:rPr>
      <w:t>13</w:t>
    </w:r>
    <w:r>
      <w:rPr>
        <w:rStyle w:val="14"/>
        <w:rFonts w:ascii="宋体" w:hAnsi="宋体"/>
      </w:rPr>
      <w:fldChar w:fldCharType="end"/>
    </w:r>
    <w:r>
      <w:rPr>
        <w:rStyle w:val="14"/>
        <w:rFonts w:hint="eastAsia" w:ascii="宋体" w:hAnsi="宋体"/>
      </w:rPr>
      <w:t>页</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82673D">
    <w:pPr>
      <w:pStyle w:val="8"/>
      <w:jc w:val="left"/>
      <w:rPr>
        <w:rFonts w:ascii="Times New Roman" w:hAnsi="Times New Roman" w:eastAsia="宋体"/>
      </w:rPr>
    </w:pPr>
    <w:r>
      <w:rPr>
        <w:rFonts w:hint="eastAsia" w:ascii="幼圆" w:eastAsia="幼圆"/>
      </w:rPr>
      <w:drawing>
        <wp:inline distT="0" distB="0" distL="114300" distR="114300">
          <wp:extent cx="2212975" cy="290830"/>
          <wp:effectExtent l="0" t="0" r="15875" b="13970"/>
          <wp:docPr id="1" name="图片 1" descr="页眉"/>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页眉"/>
                  <pic:cNvPicPr>
                    <a:picLocks noChangeAspect="1"/>
                  </pic:cNvPicPr>
                </pic:nvPicPr>
                <pic:blipFill>
                  <a:blip r:embed="rId1"/>
                  <a:stretch>
                    <a:fillRect/>
                  </a:stretch>
                </pic:blipFill>
                <pic:spPr>
                  <a:xfrm>
                    <a:off x="0" y="0"/>
                    <a:ext cx="2212975" cy="290830"/>
                  </a:xfrm>
                  <a:prstGeom prst="rect">
                    <a:avLst/>
                  </a:prstGeom>
                </pic:spPr>
              </pic:pic>
            </a:graphicData>
          </a:graphic>
        </wp:inline>
      </w:drawing>
    </w:r>
    <w:r>
      <w:rPr>
        <w:rFonts w:hint="eastAsia" w:ascii="幼圆" w:eastAsia="幼圆"/>
      </w:rPr>
      <w:t xml:space="preserve">           </w:t>
    </w:r>
    <w:r>
      <w:rPr>
        <w:rFonts w:hint="eastAsia" w:ascii="Times New Roman" w:hAnsi="Times New Roman" w:eastAsia="宋体"/>
      </w:rPr>
      <w:t>药物临床试验两方主合同     合同编号：</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E838A9"/>
    <w:multiLevelType w:val="singleLevel"/>
    <w:tmpl w:val="94E838A9"/>
    <w:lvl w:ilvl="0" w:tentative="0">
      <w:start w:val="1"/>
      <w:numFmt w:val="decimal"/>
      <w:lvlText w:val="%1)"/>
      <w:lvlJc w:val="left"/>
      <w:pPr>
        <w:tabs>
          <w:tab w:val="left" w:pos="170"/>
        </w:tabs>
        <w:ind w:left="454" w:hanging="454"/>
      </w:pPr>
      <w:rPr>
        <w:rFonts w:hint="default"/>
        <w:i w:val="0"/>
        <w:iCs w:val="0"/>
      </w:rPr>
    </w:lvl>
  </w:abstractNum>
  <w:abstractNum w:abstractNumId="1">
    <w:nsid w:val="DAB9ED1F"/>
    <w:multiLevelType w:val="singleLevel"/>
    <w:tmpl w:val="DAB9ED1F"/>
    <w:lvl w:ilvl="0" w:tentative="0">
      <w:start w:val="1"/>
      <w:numFmt w:val="bullet"/>
      <w:lvlText w:val=""/>
      <w:lvlJc w:val="left"/>
      <w:pPr>
        <w:ind w:left="420" w:hanging="420"/>
      </w:pPr>
      <w:rPr>
        <w:rFonts w:hint="default" w:ascii="Wingdings" w:hAnsi="Wingdings"/>
      </w:rPr>
    </w:lvl>
  </w:abstractNum>
  <w:abstractNum w:abstractNumId="2">
    <w:nsid w:val="1D6E878B"/>
    <w:multiLevelType w:val="singleLevel"/>
    <w:tmpl w:val="1D6E878B"/>
    <w:lvl w:ilvl="0" w:tentative="0">
      <w:start w:val="1"/>
      <w:numFmt w:val="bullet"/>
      <w:lvlText w:val=""/>
      <w:lvlJc w:val="left"/>
      <w:pPr>
        <w:ind w:left="420" w:hanging="420"/>
      </w:pPr>
      <w:rPr>
        <w:rFonts w:hint="default" w:ascii="Wingdings" w:hAnsi="Wingdings"/>
      </w:rPr>
    </w:lvl>
  </w:abstractNum>
  <w:abstractNum w:abstractNumId="3">
    <w:nsid w:val="60C77965"/>
    <w:multiLevelType w:val="singleLevel"/>
    <w:tmpl w:val="60C77965"/>
    <w:lvl w:ilvl="0" w:tentative="0">
      <w:start w:val="1"/>
      <w:numFmt w:val="decimal"/>
      <w:lvlText w:val="%1)"/>
      <w:lvlJc w:val="left"/>
      <w:pPr>
        <w:ind w:left="425" w:hanging="425"/>
      </w:pPr>
      <w:rPr>
        <w:rFonts w:hint="default"/>
      </w:rPr>
    </w:lvl>
  </w:abstractNum>
  <w:abstractNum w:abstractNumId="4">
    <w:nsid w:val="6856978F"/>
    <w:multiLevelType w:val="singleLevel"/>
    <w:tmpl w:val="6856978F"/>
    <w:lvl w:ilvl="0" w:tentative="0">
      <w:start w:val="1"/>
      <w:numFmt w:val="decimal"/>
      <w:lvlText w:val="%1)"/>
      <w:lvlJc w:val="left"/>
      <w:pPr>
        <w:tabs>
          <w:tab w:val="left" w:pos="170"/>
        </w:tabs>
        <w:ind w:left="454" w:hanging="454"/>
      </w:pPr>
      <w:rPr>
        <w:rFonts w:hint="default"/>
      </w:rPr>
    </w:lvl>
  </w:abstractNum>
  <w:abstractNum w:abstractNumId="5">
    <w:nsid w:val="70A7142D"/>
    <w:multiLevelType w:val="singleLevel"/>
    <w:tmpl w:val="70A7142D"/>
    <w:lvl w:ilvl="0" w:tentative="0">
      <w:start w:val="1"/>
      <w:numFmt w:val="decimal"/>
      <w:lvlText w:val="%1)"/>
      <w:lvlJc w:val="left"/>
      <w:pPr>
        <w:tabs>
          <w:tab w:val="left" w:pos="170"/>
        </w:tabs>
        <w:ind w:left="454" w:hanging="454"/>
      </w:pPr>
      <w:rPr>
        <w:rFonts w:hint="default"/>
      </w:rPr>
    </w:lvl>
  </w:abstractNum>
  <w:num w:numId="1">
    <w:abstractNumId w:val="0"/>
  </w:num>
  <w:num w:numId="2">
    <w:abstractNumId w:val="5"/>
  </w:num>
  <w:num w:numId="3">
    <w:abstractNumId w:val="1"/>
  </w:num>
  <w:num w:numId="4">
    <w:abstractNumId w:val="2"/>
  </w:num>
  <w:num w:numId="5">
    <w:abstractNumId w:val="3"/>
  </w:num>
  <w:num w:numId="6">
    <w:abstractNumId w:val="4"/>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果子">
    <w15:presenceInfo w15:providerId="None" w15:userId="果子"/>
  </w15:person>
  <w15:person w15:author="Y.Xi">
    <w15:presenceInfo w15:providerId="WPS Office" w15:userId="148161701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Y4YzYyYmUyNDRiZDYyYmFmYzNjZDNmYjhiNjExYzMifQ=="/>
  </w:docVars>
  <w:rsids>
    <w:rsidRoot w:val="0037492C"/>
    <w:rsid w:val="000003BE"/>
    <w:rsid w:val="00000A61"/>
    <w:rsid w:val="00002542"/>
    <w:rsid w:val="00006E44"/>
    <w:rsid w:val="00010C9D"/>
    <w:rsid w:val="00012267"/>
    <w:rsid w:val="00021ADE"/>
    <w:rsid w:val="000274E6"/>
    <w:rsid w:val="0003128A"/>
    <w:rsid w:val="0003737A"/>
    <w:rsid w:val="00051BF7"/>
    <w:rsid w:val="000649C3"/>
    <w:rsid w:val="00067D37"/>
    <w:rsid w:val="0007091F"/>
    <w:rsid w:val="000733D5"/>
    <w:rsid w:val="0007537A"/>
    <w:rsid w:val="000857A1"/>
    <w:rsid w:val="00086E83"/>
    <w:rsid w:val="000A2242"/>
    <w:rsid w:val="000B2822"/>
    <w:rsid w:val="000C2644"/>
    <w:rsid w:val="000D4E39"/>
    <w:rsid w:val="000E088B"/>
    <w:rsid w:val="000E165E"/>
    <w:rsid w:val="000E764D"/>
    <w:rsid w:val="0011339B"/>
    <w:rsid w:val="0012024C"/>
    <w:rsid w:val="00122B37"/>
    <w:rsid w:val="00126F92"/>
    <w:rsid w:val="00130EFE"/>
    <w:rsid w:val="00144732"/>
    <w:rsid w:val="00144D5B"/>
    <w:rsid w:val="0014500E"/>
    <w:rsid w:val="00155665"/>
    <w:rsid w:val="00157A56"/>
    <w:rsid w:val="00162555"/>
    <w:rsid w:val="001652F1"/>
    <w:rsid w:val="00166301"/>
    <w:rsid w:val="0017050E"/>
    <w:rsid w:val="0017494D"/>
    <w:rsid w:val="0018109C"/>
    <w:rsid w:val="00181672"/>
    <w:rsid w:val="00190EA9"/>
    <w:rsid w:val="00194266"/>
    <w:rsid w:val="001B1B75"/>
    <w:rsid w:val="001B55A3"/>
    <w:rsid w:val="001C0682"/>
    <w:rsid w:val="001C0973"/>
    <w:rsid w:val="001C16A2"/>
    <w:rsid w:val="001C3065"/>
    <w:rsid w:val="001C588C"/>
    <w:rsid w:val="001E13C8"/>
    <w:rsid w:val="001F4B8F"/>
    <w:rsid w:val="001F66C5"/>
    <w:rsid w:val="001F7CD8"/>
    <w:rsid w:val="00200CBA"/>
    <w:rsid w:val="002061E8"/>
    <w:rsid w:val="00206462"/>
    <w:rsid w:val="0020725E"/>
    <w:rsid w:val="0021217A"/>
    <w:rsid w:val="00213507"/>
    <w:rsid w:val="0021496E"/>
    <w:rsid w:val="00220EEE"/>
    <w:rsid w:val="00227FCF"/>
    <w:rsid w:val="002304F5"/>
    <w:rsid w:val="002335BB"/>
    <w:rsid w:val="002356F6"/>
    <w:rsid w:val="00236BC5"/>
    <w:rsid w:val="002429F9"/>
    <w:rsid w:val="00242D91"/>
    <w:rsid w:val="00242F0E"/>
    <w:rsid w:val="00243391"/>
    <w:rsid w:val="002472DD"/>
    <w:rsid w:val="00254D1E"/>
    <w:rsid w:val="0026060A"/>
    <w:rsid w:val="00262C9A"/>
    <w:rsid w:val="00264625"/>
    <w:rsid w:val="00267C05"/>
    <w:rsid w:val="00271A0E"/>
    <w:rsid w:val="00272FC7"/>
    <w:rsid w:val="00277521"/>
    <w:rsid w:val="00283C79"/>
    <w:rsid w:val="002A3C2B"/>
    <w:rsid w:val="002A6197"/>
    <w:rsid w:val="002C0EDE"/>
    <w:rsid w:val="002C1645"/>
    <w:rsid w:val="002C291A"/>
    <w:rsid w:val="002C3860"/>
    <w:rsid w:val="002D0858"/>
    <w:rsid w:val="002D0D73"/>
    <w:rsid w:val="002D2C78"/>
    <w:rsid w:val="002D4595"/>
    <w:rsid w:val="002E3D1F"/>
    <w:rsid w:val="00301308"/>
    <w:rsid w:val="003045CA"/>
    <w:rsid w:val="00305A1F"/>
    <w:rsid w:val="0030728A"/>
    <w:rsid w:val="00311C4C"/>
    <w:rsid w:val="003142AA"/>
    <w:rsid w:val="003149D3"/>
    <w:rsid w:val="00314A08"/>
    <w:rsid w:val="003158E0"/>
    <w:rsid w:val="00321946"/>
    <w:rsid w:val="00322814"/>
    <w:rsid w:val="003372BF"/>
    <w:rsid w:val="00347997"/>
    <w:rsid w:val="003506AE"/>
    <w:rsid w:val="00357789"/>
    <w:rsid w:val="00360773"/>
    <w:rsid w:val="003638EF"/>
    <w:rsid w:val="00366478"/>
    <w:rsid w:val="00367394"/>
    <w:rsid w:val="0037492C"/>
    <w:rsid w:val="0037515D"/>
    <w:rsid w:val="003836D0"/>
    <w:rsid w:val="00383C79"/>
    <w:rsid w:val="003921FF"/>
    <w:rsid w:val="00394DAF"/>
    <w:rsid w:val="00397FBF"/>
    <w:rsid w:val="003A676C"/>
    <w:rsid w:val="003B2C1B"/>
    <w:rsid w:val="003B58A9"/>
    <w:rsid w:val="003B6478"/>
    <w:rsid w:val="003D05C1"/>
    <w:rsid w:val="00401538"/>
    <w:rsid w:val="00401F89"/>
    <w:rsid w:val="00403A84"/>
    <w:rsid w:val="00406F0D"/>
    <w:rsid w:val="00420969"/>
    <w:rsid w:val="004210E5"/>
    <w:rsid w:val="0042177B"/>
    <w:rsid w:val="00422D45"/>
    <w:rsid w:val="00423733"/>
    <w:rsid w:val="00425C82"/>
    <w:rsid w:val="004274A2"/>
    <w:rsid w:val="00442D7B"/>
    <w:rsid w:val="00450717"/>
    <w:rsid w:val="004521D7"/>
    <w:rsid w:val="00455439"/>
    <w:rsid w:val="004576D7"/>
    <w:rsid w:val="00460A59"/>
    <w:rsid w:val="00463CE4"/>
    <w:rsid w:val="00466386"/>
    <w:rsid w:val="004725E0"/>
    <w:rsid w:val="004730EA"/>
    <w:rsid w:val="00476AFF"/>
    <w:rsid w:val="00476FC9"/>
    <w:rsid w:val="00481698"/>
    <w:rsid w:val="004856C6"/>
    <w:rsid w:val="00491684"/>
    <w:rsid w:val="00493025"/>
    <w:rsid w:val="00495525"/>
    <w:rsid w:val="004A2017"/>
    <w:rsid w:val="004A6D45"/>
    <w:rsid w:val="004B1DCE"/>
    <w:rsid w:val="004C0FEC"/>
    <w:rsid w:val="004D582E"/>
    <w:rsid w:val="004F059A"/>
    <w:rsid w:val="004F2615"/>
    <w:rsid w:val="004F4780"/>
    <w:rsid w:val="00504370"/>
    <w:rsid w:val="005043FE"/>
    <w:rsid w:val="00506D39"/>
    <w:rsid w:val="00507EB9"/>
    <w:rsid w:val="00513EEC"/>
    <w:rsid w:val="00514719"/>
    <w:rsid w:val="00515E30"/>
    <w:rsid w:val="00515FAA"/>
    <w:rsid w:val="00517CA7"/>
    <w:rsid w:val="00520F78"/>
    <w:rsid w:val="00525B67"/>
    <w:rsid w:val="00530D51"/>
    <w:rsid w:val="00531C51"/>
    <w:rsid w:val="0055667C"/>
    <w:rsid w:val="00560E38"/>
    <w:rsid w:val="00561BD3"/>
    <w:rsid w:val="00571978"/>
    <w:rsid w:val="00575382"/>
    <w:rsid w:val="00593067"/>
    <w:rsid w:val="005A4A59"/>
    <w:rsid w:val="005C0365"/>
    <w:rsid w:val="005C6197"/>
    <w:rsid w:val="005D44B3"/>
    <w:rsid w:val="005D5879"/>
    <w:rsid w:val="005D66F0"/>
    <w:rsid w:val="005E0441"/>
    <w:rsid w:val="005E0610"/>
    <w:rsid w:val="005E1E2E"/>
    <w:rsid w:val="005E78F1"/>
    <w:rsid w:val="005F043A"/>
    <w:rsid w:val="005F25DB"/>
    <w:rsid w:val="005F6C3C"/>
    <w:rsid w:val="006031AA"/>
    <w:rsid w:val="0061466D"/>
    <w:rsid w:val="00622941"/>
    <w:rsid w:val="00622FC1"/>
    <w:rsid w:val="006300A4"/>
    <w:rsid w:val="006367E1"/>
    <w:rsid w:val="00640FF1"/>
    <w:rsid w:val="00645D81"/>
    <w:rsid w:val="006527D0"/>
    <w:rsid w:val="006528B6"/>
    <w:rsid w:val="0066230C"/>
    <w:rsid w:val="00664E59"/>
    <w:rsid w:val="00665346"/>
    <w:rsid w:val="00665FA7"/>
    <w:rsid w:val="0067640A"/>
    <w:rsid w:val="00676EFB"/>
    <w:rsid w:val="0068077E"/>
    <w:rsid w:val="006852AD"/>
    <w:rsid w:val="00696C4B"/>
    <w:rsid w:val="006A7EA8"/>
    <w:rsid w:val="006B3143"/>
    <w:rsid w:val="006C36B8"/>
    <w:rsid w:val="006D3CCD"/>
    <w:rsid w:val="006E0DA0"/>
    <w:rsid w:val="006E3183"/>
    <w:rsid w:val="006F3807"/>
    <w:rsid w:val="006F7E07"/>
    <w:rsid w:val="007122F3"/>
    <w:rsid w:val="00740799"/>
    <w:rsid w:val="00740891"/>
    <w:rsid w:val="00744FA4"/>
    <w:rsid w:val="00745263"/>
    <w:rsid w:val="0074792F"/>
    <w:rsid w:val="00754BFC"/>
    <w:rsid w:val="00766E61"/>
    <w:rsid w:val="00770C77"/>
    <w:rsid w:val="0077310F"/>
    <w:rsid w:val="0077578D"/>
    <w:rsid w:val="00776688"/>
    <w:rsid w:val="00777ED3"/>
    <w:rsid w:val="00786C48"/>
    <w:rsid w:val="00795B1A"/>
    <w:rsid w:val="007A2579"/>
    <w:rsid w:val="007A6A93"/>
    <w:rsid w:val="007D25BC"/>
    <w:rsid w:val="007D3A2E"/>
    <w:rsid w:val="007D4DA1"/>
    <w:rsid w:val="007D66A8"/>
    <w:rsid w:val="007E15DA"/>
    <w:rsid w:val="007E2F7E"/>
    <w:rsid w:val="007E5BDF"/>
    <w:rsid w:val="007F3EE4"/>
    <w:rsid w:val="007F6E62"/>
    <w:rsid w:val="0080086D"/>
    <w:rsid w:val="00806812"/>
    <w:rsid w:val="00811C77"/>
    <w:rsid w:val="0081366F"/>
    <w:rsid w:val="00815840"/>
    <w:rsid w:val="008219CB"/>
    <w:rsid w:val="00823AF5"/>
    <w:rsid w:val="008350E4"/>
    <w:rsid w:val="0084043E"/>
    <w:rsid w:val="00842CF4"/>
    <w:rsid w:val="00843733"/>
    <w:rsid w:val="0084516B"/>
    <w:rsid w:val="00845B13"/>
    <w:rsid w:val="008478F4"/>
    <w:rsid w:val="008525C3"/>
    <w:rsid w:val="0085283B"/>
    <w:rsid w:val="00857729"/>
    <w:rsid w:val="00862A5A"/>
    <w:rsid w:val="008637F6"/>
    <w:rsid w:val="00863F44"/>
    <w:rsid w:val="00864176"/>
    <w:rsid w:val="0086635C"/>
    <w:rsid w:val="00873EDD"/>
    <w:rsid w:val="008819A7"/>
    <w:rsid w:val="0089437E"/>
    <w:rsid w:val="00896097"/>
    <w:rsid w:val="008969AC"/>
    <w:rsid w:val="008A2F32"/>
    <w:rsid w:val="008A317F"/>
    <w:rsid w:val="008B6B70"/>
    <w:rsid w:val="008B77F2"/>
    <w:rsid w:val="008B7CB9"/>
    <w:rsid w:val="008C084A"/>
    <w:rsid w:val="008D26CC"/>
    <w:rsid w:val="008D5B0F"/>
    <w:rsid w:val="008F16B4"/>
    <w:rsid w:val="00901E16"/>
    <w:rsid w:val="00905B91"/>
    <w:rsid w:val="009140EE"/>
    <w:rsid w:val="00914180"/>
    <w:rsid w:val="00914644"/>
    <w:rsid w:val="00916740"/>
    <w:rsid w:val="00917568"/>
    <w:rsid w:val="00923AD0"/>
    <w:rsid w:val="00927684"/>
    <w:rsid w:val="0093438D"/>
    <w:rsid w:val="0093458F"/>
    <w:rsid w:val="009369A0"/>
    <w:rsid w:val="009434A1"/>
    <w:rsid w:val="00945145"/>
    <w:rsid w:val="009458B0"/>
    <w:rsid w:val="00955DD1"/>
    <w:rsid w:val="009635D5"/>
    <w:rsid w:val="00964EF3"/>
    <w:rsid w:val="00973DD7"/>
    <w:rsid w:val="0097488E"/>
    <w:rsid w:val="00982CE4"/>
    <w:rsid w:val="009847AC"/>
    <w:rsid w:val="00985B55"/>
    <w:rsid w:val="00993B99"/>
    <w:rsid w:val="009A3099"/>
    <w:rsid w:val="009B0DE0"/>
    <w:rsid w:val="009B20DE"/>
    <w:rsid w:val="009B30ED"/>
    <w:rsid w:val="009B4C71"/>
    <w:rsid w:val="009C4130"/>
    <w:rsid w:val="009C6C04"/>
    <w:rsid w:val="009D0187"/>
    <w:rsid w:val="009D0628"/>
    <w:rsid w:val="009D1088"/>
    <w:rsid w:val="009D79EA"/>
    <w:rsid w:val="009F43C3"/>
    <w:rsid w:val="009F6D3B"/>
    <w:rsid w:val="00A01D68"/>
    <w:rsid w:val="00A060AA"/>
    <w:rsid w:val="00A07932"/>
    <w:rsid w:val="00A21363"/>
    <w:rsid w:val="00A21C68"/>
    <w:rsid w:val="00A344FF"/>
    <w:rsid w:val="00A3792F"/>
    <w:rsid w:val="00A41D31"/>
    <w:rsid w:val="00A44517"/>
    <w:rsid w:val="00A44FDE"/>
    <w:rsid w:val="00A53590"/>
    <w:rsid w:val="00A60C83"/>
    <w:rsid w:val="00A64EAD"/>
    <w:rsid w:val="00A666B6"/>
    <w:rsid w:val="00A669F0"/>
    <w:rsid w:val="00A75A2D"/>
    <w:rsid w:val="00A8087B"/>
    <w:rsid w:val="00A82096"/>
    <w:rsid w:val="00A8492A"/>
    <w:rsid w:val="00A97A6A"/>
    <w:rsid w:val="00AB2DF9"/>
    <w:rsid w:val="00AB386A"/>
    <w:rsid w:val="00AB4A0E"/>
    <w:rsid w:val="00AB5362"/>
    <w:rsid w:val="00AB5EEC"/>
    <w:rsid w:val="00AC21A5"/>
    <w:rsid w:val="00AD5408"/>
    <w:rsid w:val="00AD7EE0"/>
    <w:rsid w:val="00AE5921"/>
    <w:rsid w:val="00AF2240"/>
    <w:rsid w:val="00AF2DD5"/>
    <w:rsid w:val="00AF7AB2"/>
    <w:rsid w:val="00B00081"/>
    <w:rsid w:val="00B018B2"/>
    <w:rsid w:val="00B20462"/>
    <w:rsid w:val="00B2298A"/>
    <w:rsid w:val="00B31878"/>
    <w:rsid w:val="00B3291F"/>
    <w:rsid w:val="00B33CBA"/>
    <w:rsid w:val="00B44894"/>
    <w:rsid w:val="00B47524"/>
    <w:rsid w:val="00B54F87"/>
    <w:rsid w:val="00B6004C"/>
    <w:rsid w:val="00B61DF3"/>
    <w:rsid w:val="00B754C4"/>
    <w:rsid w:val="00B778A9"/>
    <w:rsid w:val="00B90FD9"/>
    <w:rsid w:val="00BA416A"/>
    <w:rsid w:val="00BA644C"/>
    <w:rsid w:val="00BB72F2"/>
    <w:rsid w:val="00BB7637"/>
    <w:rsid w:val="00BC2159"/>
    <w:rsid w:val="00BC36CC"/>
    <w:rsid w:val="00BC503D"/>
    <w:rsid w:val="00BD5CFD"/>
    <w:rsid w:val="00BD793E"/>
    <w:rsid w:val="00BE6BD1"/>
    <w:rsid w:val="00BE7360"/>
    <w:rsid w:val="00BF431D"/>
    <w:rsid w:val="00BF5542"/>
    <w:rsid w:val="00BF5766"/>
    <w:rsid w:val="00BF5EFB"/>
    <w:rsid w:val="00BF7AF4"/>
    <w:rsid w:val="00C002D7"/>
    <w:rsid w:val="00C07D4D"/>
    <w:rsid w:val="00C17BFB"/>
    <w:rsid w:val="00C24EFE"/>
    <w:rsid w:val="00C2734D"/>
    <w:rsid w:val="00C27A3C"/>
    <w:rsid w:val="00C3188E"/>
    <w:rsid w:val="00C327BC"/>
    <w:rsid w:val="00C32AD0"/>
    <w:rsid w:val="00C3375C"/>
    <w:rsid w:val="00C34407"/>
    <w:rsid w:val="00C35481"/>
    <w:rsid w:val="00C36C05"/>
    <w:rsid w:val="00C4696B"/>
    <w:rsid w:val="00C51259"/>
    <w:rsid w:val="00C909AC"/>
    <w:rsid w:val="00C915FA"/>
    <w:rsid w:val="00C923E0"/>
    <w:rsid w:val="00C95DC5"/>
    <w:rsid w:val="00CA67C1"/>
    <w:rsid w:val="00CA7E29"/>
    <w:rsid w:val="00CB3627"/>
    <w:rsid w:val="00CC254C"/>
    <w:rsid w:val="00CC6A54"/>
    <w:rsid w:val="00CC6DF6"/>
    <w:rsid w:val="00CD0925"/>
    <w:rsid w:val="00CD4AB9"/>
    <w:rsid w:val="00CE7B6B"/>
    <w:rsid w:val="00CF10A0"/>
    <w:rsid w:val="00D15BF5"/>
    <w:rsid w:val="00D232E5"/>
    <w:rsid w:val="00D35D04"/>
    <w:rsid w:val="00D569E5"/>
    <w:rsid w:val="00D62304"/>
    <w:rsid w:val="00D72D59"/>
    <w:rsid w:val="00D76C41"/>
    <w:rsid w:val="00D77C13"/>
    <w:rsid w:val="00D81FDB"/>
    <w:rsid w:val="00D8354C"/>
    <w:rsid w:val="00D83626"/>
    <w:rsid w:val="00D86A0E"/>
    <w:rsid w:val="00D90795"/>
    <w:rsid w:val="00D949E3"/>
    <w:rsid w:val="00D96031"/>
    <w:rsid w:val="00DA4DC1"/>
    <w:rsid w:val="00DB00F0"/>
    <w:rsid w:val="00DC0863"/>
    <w:rsid w:val="00DC11B4"/>
    <w:rsid w:val="00DD05E7"/>
    <w:rsid w:val="00DE138A"/>
    <w:rsid w:val="00DE1B8A"/>
    <w:rsid w:val="00DE7117"/>
    <w:rsid w:val="00DF0EC6"/>
    <w:rsid w:val="00DF7AEF"/>
    <w:rsid w:val="00E0025A"/>
    <w:rsid w:val="00E20C01"/>
    <w:rsid w:val="00E25F55"/>
    <w:rsid w:val="00E26F15"/>
    <w:rsid w:val="00E320FC"/>
    <w:rsid w:val="00E434D3"/>
    <w:rsid w:val="00E44C10"/>
    <w:rsid w:val="00E738F0"/>
    <w:rsid w:val="00E7647B"/>
    <w:rsid w:val="00E83AB5"/>
    <w:rsid w:val="00E8566C"/>
    <w:rsid w:val="00E856FB"/>
    <w:rsid w:val="00E907B2"/>
    <w:rsid w:val="00E91F5B"/>
    <w:rsid w:val="00EA00B2"/>
    <w:rsid w:val="00EA47BC"/>
    <w:rsid w:val="00EB18A9"/>
    <w:rsid w:val="00EC3FCD"/>
    <w:rsid w:val="00EC75AB"/>
    <w:rsid w:val="00ED08D5"/>
    <w:rsid w:val="00ED179F"/>
    <w:rsid w:val="00ED38D8"/>
    <w:rsid w:val="00ED53B1"/>
    <w:rsid w:val="00EE0D10"/>
    <w:rsid w:val="00EE5327"/>
    <w:rsid w:val="00EF14AA"/>
    <w:rsid w:val="00EF5BE4"/>
    <w:rsid w:val="00F01DD6"/>
    <w:rsid w:val="00F1042C"/>
    <w:rsid w:val="00F10B66"/>
    <w:rsid w:val="00F13848"/>
    <w:rsid w:val="00F13D3B"/>
    <w:rsid w:val="00F2480B"/>
    <w:rsid w:val="00F25382"/>
    <w:rsid w:val="00F31DA8"/>
    <w:rsid w:val="00F35764"/>
    <w:rsid w:val="00F3741C"/>
    <w:rsid w:val="00F459C6"/>
    <w:rsid w:val="00F66CA1"/>
    <w:rsid w:val="00F86D53"/>
    <w:rsid w:val="00F86FCE"/>
    <w:rsid w:val="00F9185F"/>
    <w:rsid w:val="00F9338F"/>
    <w:rsid w:val="00FA0984"/>
    <w:rsid w:val="00FA7032"/>
    <w:rsid w:val="00FA73E0"/>
    <w:rsid w:val="00FA75EC"/>
    <w:rsid w:val="00FB4F08"/>
    <w:rsid w:val="00FB579E"/>
    <w:rsid w:val="00FC35F0"/>
    <w:rsid w:val="00FC6D33"/>
    <w:rsid w:val="00FD0DE0"/>
    <w:rsid w:val="00FD2844"/>
    <w:rsid w:val="00FE3163"/>
    <w:rsid w:val="00FF5AD5"/>
    <w:rsid w:val="03E95801"/>
    <w:rsid w:val="06F10DEA"/>
    <w:rsid w:val="070D1D11"/>
    <w:rsid w:val="09F01A92"/>
    <w:rsid w:val="0AD721B1"/>
    <w:rsid w:val="0C810591"/>
    <w:rsid w:val="1547065A"/>
    <w:rsid w:val="16B42020"/>
    <w:rsid w:val="18D1637D"/>
    <w:rsid w:val="1F0E50DA"/>
    <w:rsid w:val="1F8A6732"/>
    <w:rsid w:val="22222701"/>
    <w:rsid w:val="22583395"/>
    <w:rsid w:val="264F1AEE"/>
    <w:rsid w:val="2FBE4ADD"/>
    <w:rsid w:val="2FDD57B8"/>
    <w:rsid w:val="343B1514"/>
    <w:rsid w:val="3AB671B1"/>
    <w:rsid w:val="3EDD6D9B"/>
    <w:rsid w:val="46D8274F"/>
    <w:rsid w:val="4C0979E2"/>
    <w:rsid w:val="4E7C7F18"/>
    <w:rsid w:val="512D751C"/>
    <w:rsid w:val="514E58FC"/>
    <w:rsid w:val="54EB4235"/>
    <w:rsid w:val="55477876"/>
    <w:rsid w:val="5695159E"/>
    <w:rsid w:val="5DDC1CD8"/>
    <w:rsid w:val="5F2940CC"/>
    <w:rsid w:val="60AE1399"/>
    <w:rsid w:val="610F0176"/>
    <w:rsid w:val="64811022"/>
    <w:rsid w:val="6AF46E40"/>
    <w:rsid w:val="6B414B5A"/>
    <w:rsid w:val="6D833A95"/>
    <w:rsid w:val="6DBA0963"/>
    <w:rsid w:val="6ECC4C2E"/>
    <w:rsid w:val="7427106D"/>
    <w:rsid w:val="75BF300A"/>
    <w:rsid w:val="76E344A7"/>
    <w:rsid w:val="7ED12611"/>
    <w:rsid w:val="AF66F2D1"/>
    <w:rsid w:val="D37F53A1"/>
    <w:rsid w:val="EBFF0ECD"/>
    <w:rsid w:val="F8DFD66E"/>
    <w:rsid w:val="FBBFC732"/>
    <w:rsid w:val="FF1E64D3"/>
    <w:rsid w:val="FF75DABC"/>
    <w:rsid w:val="FFCF782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99" w:semiHidden="0"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99" w:semiHidden="0"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3"/>
    <w:basedOn w:val="1"/>
    <w:next w:val="1"/>
    <w:unhideWhenUsed/>
    <w:qFormat/>
    <w:uiPriority w:val="9"/>
    <w:pPr>
      <w:keepNext/>
      <w:keepLines/>
      <w:spacing w:before="260" w:after="260" w:line="413" w:lineRule="auto"/>
      <w:outlineLvl w:val="2"/>
    </w:pPr>
    <w:rPr>
      <w:b/>
      <w:sz w:val="32"/>
    </w:rPr>
  </w:style>
  <w:style w:type="character" w:default="1" w:styleId="13">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3">
    <w:name w:val="Normal Indent"/>
    <w:basedOn w:val="1"/>
    <w:qFormat/>
    <w:uiPriority w:val="99"/>
    <w:pPr>
      <w:spacing w:line="360" w:lineRule="auto"/>
      <w:ind w:firstLine="420"/>
    </w:pPr>
    <w:rPr>
      <w:snapToGrid w:val="0"/>
      <w:lang w:val="en-GB"/>
    </w:rPr>
  </w:style>
  <w:style w:type="paragraph" w:styleId="4">
    <w:name w:val="annotation text"/>
    <w:basedOn w:val="1"/>
    <w:link w:val="20"/>
    <w:unhideWhenUsed/>
    <w:qFormat/>
    <w:uiPriority w:val="99"/>
    <w:pPr>
      <w:jc w:val="left"/>
    </w:pPr>
  </w:style>
  <w:style w:type="paragraph" w:styleId="5">
    <w:name w:val="Plain Text"/>
    <w:basedOn w:val="1"/>
    <w:link w:val="23"/>
    <w:qFormat/>
    <w:uiPriority w:val="99"/>
    <w:rPr>
      <w:rFonts w:ascii="宋体" w:hAnsi="Courier New" w:cs="Courier New" w:eastAsiaTheme="minorEastAsia"/>
      <w:szCs w:val="21"/>
    </w:rPr>
  </w:style>
  <w:style w:type="paragraph" w:styleId="6">
    <w:name w:val="Balloon Text"/>
    <w:basedOn w:val="1"/>
    <w:link w:val="22"/>
    <w:semiHidden/>
    <w:unhideWhenUsed/>
    <w:qFormat/>
    <w:uiPriority w:val="99"/>
    <w:rPr>
      <w:sz w:val="18"/>
      <w:szCs w:val="18"/>
    </w:rPr>
  </w:style>
  <w:style w:type="paragraph" w:styleId="7">
    <w:name w:val="footer"/>
    <w:basedOn w:val="1"/>
    <w:link w:val="18"/>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8">
    <w:name w:val="header"/>
    <w:basedOn w:val="1"/>
    <w:link w:val="17"/>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9">
    <w:name w:val="Normal (Web)"/>
    <w:basedOn w:val="1"/>
    <w:semiHidden/>
    <w:unhideWhenUsed/>
    <w:qFormat/>
    <w:uiPriority w:val="99"/>
    <w:pPr>
      <w:spacing w:beforeAutospacing="1" w:afterAutospacing="1"/>
      <w:jc w:val="left"/>
    </w:pPr>
    <w:rPr>
      <w:kern w:val="0"/>
      <w:sz w:val="24"/>
    </w:rPr>
  </w:style>
  <w:style w:type="paragraph" w:styleId="10">
    <w:name w:val="annotation subject"/>
    <w:basedOn w:val="4"/>
    <w:next w:val="4"/>
    <w:link w:val="21"/>
    <w:semiHidden/>
    <w:unhideWhenUsed/>
    <w:qFormat/>
    <w:uiPriority w:val="99"/>
    <w:rPr>
      <w:b/>
      <w:bCs/>
    </w:rPr>
  </w:style>
  <w:style w:type="table" w:styleId="12">
    <w:name w:val="Table Grid"/>
    <w:basedOn w:val="11"/>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styleId="14">
    <w:name w:val="page number"/>
    <w:qFormat/>
    <w:uiPriority w:val="0"/>
  </w:style>
  <w:style w:type="character" w:styleId="15">
    <w:name w:val="annotation reference"/>
    <w:basedOn w:val="13"/>
    <w:unhideWhenUsed/>
    <w:qFormat/>
    <w:uiPriority w:val="99"/>
    <w:rPr>
      <w:sz w:val="21"/>
      <w:szCs w:val="21"/>
    </w:rPr>
  </w:style>
  <w:style w:type="paragraph" w:styleId="16">
    <w:name w:val="List Paragraph"/>
    <w:basedOn w:val="1"/>
    <w:unhideWhenUsed/>
    <w:qFormat/>
    <w:uiPriority w:val="34"/>
    <w:pPr>
      <w:ind w:firstLine="420" w:firstLineChars="200"/>
    </w:pPr>
    <w:rPr>
      <w:szCs w:val="20"/>
    </w:rPr>
  </w:style>
  <w:style w:type="character" w:customStyle="1" w:styleId="17">
    <w:name w:val="页眉 字符"/>
    <w:basedOn w:val="13"/>
    <w:link w:val="8"/>
    <w:qFormat/>
    <w:uiPriority w:val="99"/>
    <w:rPr>
      <w:sz w:val="18"/>
      <w:szCs w:val="18"/>
    </w:rPr>
  </w:style>
  <w:style w:type="character" w:customStyle="1" w:styleId="18">
    <w:name w:val="页脚 字符"/>
    <w:basedOn w:val="13"/>
    <w:link w:val="7"/>
    <w:qFormat/>
    <w:uiPriority w:val="99"/>
    <w:rPr>
      <w:sz w:val="18"/>
      <w:szCs w:val="18"/>
    </w:rPr>
  </w:style>
  <w:style w:type="paragraph" w:customStyle="1" w:styleId="19">
    <w:name w:val="列出段落1"/>
    <w:basedOn w:val="1"/>
    <w:qFormat/>
    <w:uiPriority w:val="0"/>
    <w:pPr>
      <w:ind w:firstLine="420" w:firstLineChars="200"/>
    </w:pPr>
    <w:rPr>
      <w:rFonts w:ascii="Calibri" w:hAnsi="Calibri" w:cs="Calibri"/>
      <w:szCs w:val="21"/>
    </w:rPr>
  </w:style>
  <w:style w:type="character" w:customStyle="1" w:styleId="20">
    <w:name w:val="批注文字 字符"/>
    <w:basedOn w:val="13"/>
    <w:link w:val="4"/>
    <w:qFormat/>
    <w:uiPriority w:val="99"/>
    <w:rPr>
      <w:rFonts w:ascii="Times New Roman" w:hAnsi="Times New Roman" w:eastAsia="宋体" w:cs="Times New Roman"/>
      <w:szCs w:val="24"/>
    </w:rPr>
  </w:style>
  <w:style w:type="character" w:customStyle="1" w:styleId="21">
    <w:name w:val="批注主题 字符"/>
    <w:basedOn w:val="20"/>
    <w:link w:val="10"/>
    <w:semiHidden/>
    <w:qFormat/>
    <w:uiPriority w:val="99"/>
    <w:rPr>
      <w:rFonts w:ascii="Times New Roman" w:hAnsi="Times New Roman" w:eastAsia="宋体" w:cs="Times New Roman"/>
      <w:b/>
      <w:bCs/>
      <w:szCs w:val="24"/>
    </w:rPr>
  </w:style>
  <w:style w:type="character" w:customStyle="1" w:styleId="22">
    <w:name w:val="批注框文本 字符"/>
    <w:basedOn w:val="13"/>
    <w:link w:val="6"/>
    <w:semiHidden/>
    <w:qFormat/>
    <w:uiPriority w:val="99"/>
    <w:rPr>
      <w:rFonts w:ascii="Times New Roman" w:hAnsi="Times New Roman" w:eastAsia="宋体" w:cs="Times New Roman"/>
      <w:sz w:val="18"/>
      <w:szCs w:val="18"/>
    </w:rPr>
  </w:style>
  <w:style w:type="character" w:customStyle="1" w:styleId="23">
    <w:name w:val="纯文本 字符"/>
    <w:link w:val="5"/>
    <w:qFormat/>
    <w:uiPriority w:val="99"/>
    <w:rPr>
      <w:rFonts w:ascii="宋体" w:hAnsi="Courier New" w:cs="Courier New"/>
      <w:szCs w:val="21"/>
    </w:rPr>
  </w:style>
  <w:style w:type="character" w:customStyle="1" w:styleId="24">
    <w:name w:val="纯文本 Char1"/>
    <w:basedOn w:val="13"/>
    <w:semiHidden/>
    <w:qFormat/>
    <w:uiPriority w:val="99"/>
    <w:rPr>
      <w:rFonts w:ascii="宋体" w:hAnsi="Courier New" w:eastAsia="宋体" w:cs="Courier New"/>
      <w:szCs w:val="21"/>
    </w:rPr>
  </w:style>
  <w:style w:type="paragraph" w:customStyle="1" w:styleId="25">
    <w:name w:val="修订1"/>
    <w:hidden/>
    <w:semiHidden/>
    <w:qFormat/>
    <w:uiPriority w:val="99"/>
    <w:rPr>
      <w:rFonts w:ascii="Times New Roman" w:hAnsi="Times New Roman" w:eastAsia="宋体" w:cs="Times New Roman"/>
      <w:kern w:val="2"/>
      <w:sz w:val="21"/>
      <w:szCs w:val="24"/>
      <w:lang w:val="en-US" w:eastAsia="zh-CN" w:bidi="ar-SA"/>
    </w:rPr>
  </w:style>
  <w:style w:type="paragraph" w:customStyle="1" w:styleId="26">
    <w:name w:val="列出段落2"/>
    <w:basedOn w:val="1"/>
    <w:unhideWhenUsed/>
    <w:qFormat/>
    <w:uiPriority w:val="34"/>
    <w:pPr>
      <w:ind w:firstLine="420" w:firstLineChars="200"/>
    </w:pPr>
    <w:rPr>
      <w:szCs w:val="20"/>
    </w:rPr>
  </w:style>
  <w:style w:type="paragraph" w:customStyle="1" w:styleId="27">
    <w:name w:val="Revision"/>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microsoft.com/office/2011/relationships/commentsExtended" Target="commentsExtended.xml"/><Relationship Id="rId3" Type="http://schemas.openxmlformats.org/officeDocument/2006/relationships/comments" Target="comments.xml"/><Relationship Id="rId2" Type="http://schemas.openxmlformats.org/officeDocument/2006/relationships/settings" Target="settings.xml"/><Relationship Id="rId12" Type="http://schemas.microsoft.com/office/2011/relationships/people" Target="people.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16</Pages>
  <Words>10341</Words>
  <Characters>10863</Characters>
  <Lines>80</Lines>
  <Paragraphs>22</Paragraphs>
  <TotalTime>12</TotalTime>
  <ScaleCrop>false</ScaleCrop>
  <LinksUpToDate>false</LinksUpToDate>
  <CharactersWithSpaces>11126</CharactersWithSpaces>
  <Application>WPS Office_12.1.0.17440_F1E327BC-269C-435d-A152-05C5408002CA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2020-10-10T23:51:00Z</dcterms:created>
  <dc:creator>微软用户</dc:creator>
  <cp:lastModifiedBy>Y.Xi</cp:lastModifiedBy>
  <dcterms:modified xsi:type="dcterms:W3CDTF">2024-07-15T03:12:15Z</dcterms:modified>
  <cp:revision>32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2052-12.1.0.17440</vt:lpwstr>
  </property>
  <property fmtid="{D5CDD505-2E9C-101B-9397-08002B2CF9AE}" pid="3" name="ICV">
    <vt:lpwstr>26FC82C8D23FEF733785BC64C0750BCE_43</vt:lpwstr>
  </property>
</Properties>
</file>