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kinsoku/>
        <w:wordWrap/>
        <w:overflowPunct/>
        <w:topLinePunct w:val="0"/>
        <w:autoSpaceDE/>
        <w:autoSpaceDN/>
        <w:bidi w:val="0"/>
        <w:adjustRightInd/>
        <w:spacing w:line="240" w:lineRule="auto"/>
        <w:jc w:val="center"/>
        <w:textAlignment w:val="auto"/>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采购需求</w:t>
      </w:r>
    </w:p>
    <w:p>
      <w:pPr>
        <w:pStyle w:val="13"/>
        <w:keepNext w:val="0"/>
        <w:keepLines w:val="0"/>
        <w:pageBreakBefore w:val="0"/>
        <w:kinsoku/>
        <w:wordWrap/>
        <w:overflowPunct/>
        <w:topLinePunct w:val="0"/>
        <w:autoSpaceDE/>
        <w:autoSpaceDN/>
        <w:bidi w:val="0"/>
        <w:adjustRightInd/>
        <w:snapToGrid/>
        <w:spacing w:line="240" w:lineRule="auto"/>
        <w:ind w:left="0" w:leftChars="0"/>
        <w:textAlignment w:val="auto"/>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一、项目概况</w:t>
      </w:r>
    </w:p>
    <w:p>
      <w:pPr>
        <w:pStyle w:val="13"/>
        <w:keepNext w:val="0"/>
        <w:keepLines w:val="0"/>
        <w:pageBreakBefore w:val="0"/>
        <w:kinsoku/>
        <w:wordWrap/>
        <w:overflowPunct/>
        <w:topLinePunct w:val="0"/>
        <w:autoSpaceDE/>
        <w:autoSpaceDN/>
        <w:bidi w:val="0"/>
        <w:adjustRightInd/>
        <w:snapToGrid/>
        <w:spacing w:line="240" w:lineRule="auto"/>
        <w:ind w:left="0" w:leftChars="0"/>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项目编号：myzhcg2024-024</w:t>
      </w:r>
      <w:bookmarkStart w:id="0" w:name="_GoBack"/>
      <w:bookmarkEnd w:id="0"/>
    </w:p>
    <w:p>
      <w:pPr>
        <w:pStyle w:val="13"/>
        <w:keepNext w:val="0"/>
        <w:keepLines w:val="0"/>
        <w:pageBreakBefore w:val="0"/>
        <w:kinsoku/>
        <w:wordWrap/>
        <w:overflowPunct/>
        <w:topLinePunct w:val="0"/>
        <w:autoSpaceDE/>
        <w:autoSpaceDN/>
        <w:bidi w:val="0"/>
        <w:adjustRightInd/>
        <w:snapToGrid/>
        <w:spacing w:line="240" w:lineRule="auto"/>
        <w:ind w:left="0" w:leftChars="0"/>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项目名称：卡式灭菌器医疗设备采购项目</w:t>
      </w:r>
    </w:p>
    <w:p>
      <w:pPr>
        <w:pStyle w:val="13"/>
        <w:keepNext w:val="0"/>
        <w:keepLines w:val="0"/>
        <w:pageBreakBefore w:val="0"/>
        <w:kinsoku/>
        <w:wordWrap/>
        <w:overflowPunct/>
        <w:topLinePunct w:val="0"/>
        <w:autoSpaceDE/>
        <w:autoSpaceDN/>
        <w:bidi w:val="0"/>
        <w:adjustRightInd/>
        <w:snapToGrid/>
        <w:spacing w:line="240" w:lineRule="auto"/>
        <w:ind w:left="0" w:leftChars="0"/>
        <w:textAlignment w:val="auto"/>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比选办法：最低评标价法</w:t>
      </w:r>
    </w:p>
    <w:p>
      <w:pPr>
        <w:pStyle w:val="13"/>
        <w:keepNext w:val="0"/>
        <w:keepLines w:val="0"/>
        <w:pageBreakBefore w:val="0"/>
        <w:kinsoku/>
        <w:wordWrap/>
        <w:overflowPunct/>
        <w:topLinePunct w:val="0"/>
        <w:autoSpaceDE/>
        <w:autoSpaceDN/>
        <w:bidi w:val="0"/>
        <w:adjustRightInd/>
        <w:snapToGrid/>
        <w:spacing w:line="240" w:lineRule="auto"/>
        <w:ind w:left="0" w:left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采购包1：</w:t>
      </w:r>
    </w:p>
    <w:p>
      <w:pPr>
        <w:pStyle w:val="13"/>
        <w:keepNext w:val="0"/>
        <w:keepLines w:val="0"/>
        <w:pageBreakBefore w:val="0"/>
        <w:kinsoku/>
        <w:wordWrap/>
        <w:overflowPunct/>
        <w:topLinePunct w:val="0"/>
        <w:autoSpaceDE/>
        <w:autoSpaceDN/>
        <w:bidi w:val="0"/>
        <w:adjustRightInd/>
        <w:snapToGrid/>
        <w:spacing w:line="240" w:lineRule="auto"/>
        <w:ind w:left="0" w:leftChars="0"/>
        <w:textAlignment w:val="auto"/>
        <w:rPr>
          <w:rFonts w:hint="default" w:ascii="宋体" w:hAnsi="宋体" w:eastAsia="宋体" w:cs="宋体"/>
          <w:sz w:val="21"/>
          <w:szCs w:val="21"/>
          <w:lang w:val="en-US" w:eastAsia="zh-CN"/>
        </w:rPr>
      </w:pPr>
      <w:r>
        <w:rPr>
          <w:rFonts w:hint="eastAsia" w:ascii="宋体" w:hAnsi="宋体" w:eastAsia="宋体" w:cs="宋体"/>
          <w:sz w:val="21"/>
          <w:szCs w:val="21"/>
        </w:rPr>
        <w:t>采购包预算金额（元）:</w:t>
      </w:r>
      <w:r>
        <w:rPr>
          <w:rFonts w:hint="eastAsia" w:ascii="宋体" w:hAnsi="宋体" w:eastAsia="宋体" w:cs="宋体"/>
          <w:sz w:val="21"/>
          <w:szCs w:val="21"/>
          <w:lang w:val="en-US" w:eastAsia="zh-CN"/>
        </w:rPr>
        <w:t>160000</w:t>
      </w:r>
    </w:p>
    <w:p>
      <w:pPr>
        <w:pStyle w:val="13"/>
        <w:keepNext w:val="0"/>
        <w:keepLines w:val="0"/>
        <w:pageBreakBefore w:val="0"/>
        <w:kinsoku/>
        <w:wordWrap/>
        <w:overflowPunct/>
        <w:topLinePunct w:val="0"/>
        <w:autoSpaceDE/>
        <w:autoSpaceDN/>
        <w:bidi w:val="0"/>
        <w:adjustRightInd/>
        <w:snapToGrid/>
        <w:spacing w:line="240" w:lineRule="auto"/>
        <w:ind w:left="0" w:leftChars="0"/>
        <w:textAlignment w:val="auto"/>
        <w:rPr>
          <w:rFonts w:hint="default" w:ascii="宋体" w:hAnsi="宋体" w:eastAsia="宋体" w:cs="宋体"/>
          <w:sz w:val="21"/>
          <w:szCs w:val="21"/>
          <w:lang w:val="en-US" w:eastAsia="zh-CN"/>
        </w:rPr>
      </w:pPr>
      <w:r>
        <w:rPr>
          <w:rFonts w:hint="eastAsia" w:ascii="宋体" w:hAnsi="宋体" w:eastAsia="宋体" w:cs="宋体"/>
          <w:sz w:val="21"/>
          <w:szCs w:val="21"/>
        </w:rPr>
        <w:t xml:space="preserve">采购包最高限价（元）: </w:t>
      </w:r>
      <w:r>
        <w:rPr>
          <w:rFonts w:hint="eastAsia" w:ascii="宋体" w:hAnsi="宋体" w:eastAsia="宋体" w:cs="宋体"/>
          <w:sz w:val="21"/>
          <w:szCs w:val="21"/>
          <w:lang w:val="en-US" w:eastAsia="zh-CN"/>
        </w:rPr>
        <w:t>160000</w:t>
      </w:r>
    </w:p>
    <w:p>
      <w:pPr>
        <w:pStyle w:val="13"/>
        <w:keepNext w:val="0"/>
        <w:keepLines w:val="0"/>
        <w:pageBreakBefore w:val="0"/>
        <w:kinsoku/>
        <w:wordWrap/>
        <w:overflowPunct/>
        <w:topLinePunct w:val="0"/>
        <w:autoSpaceDE/>
        <w:autoSpaceDN/>
        <w:bidi w:val="0"/>
        <w:adjustRightInd/>
        <w:snapToGrid/>
        <w:spacing w:line="240" w:lineRule="auto"/>
        <w:ind w:left="0" w:leftChars="0"/>
        <w:textAlignment w:val="auto"/>
        <w:rPr>
          <w:rFonts w:hint="eastAsia" w:ascii="宋体" w:hAnsi="宋体" w:eastAsia="宋体" w:cs="宋体"/>
          <w:sz w:val="21"/>
          <w:szCs w:val="21"/>
        </w:rPr>
      </w:pPr>
      <w:r>
        <w:rPr>
          <w:rFonts w:hint="eastAsia" w:ascii="宋体" w:hAnsi="宋体" w:eastAsia="宋体" w:cs="宋体"/>
          <w:sz w:val="21"/>
          <w:szCs w:val="21"/>
        </w:rPr>
        <w:t>供应商报价不允许超过标的金额</w:t>
      </w:r>
      <w:r>
        <w:rPr>
          <w:rFonts w:hint="eastAsia" w:ascii="宋体" w:hAnsi="宋体" w:eastAsia="宋体" w:cs="宋体"/>
          <w:sz w:val="21"/>
          <w:szCs w:val="21"/>
          <w:lang w:eastAsia="zh-CN"/>
        </w:rPr>
        <w:t>；</w:t>
      </w:r>
      <w:r>
        <w:rPr>
          <w:rFonts w:hint="eastAsia" w:ascii="宋体" w:hAnsi="宋体" w:eastAsia="宋体" w:cs="宋体"/>
          <w:sz w:val="21"/>
          <w:szCs w:val="21"/>
        </w:rPr>
        <w:t>供应商报价不允许超过标的单价</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636"/>
        <w:gridCol w:w="1266"/>
        <w:gridCol w:w="636"/>
        <w:gridCol w:w="1266"/>
        <w:gridCol w:w="1791"/>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6" w:hRule="atLeast"/>
          <w:jc w:val="center"/>
        </w:trPr>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lang w:val="en-US" w:eastAsia="zh-CN" w:bidi="ar"/>
              </w:rPr>
              <w:t>序号</w:t>
            </w:r>
          </w:p>
        </w:tc>
        <w:tc>
          <w:tcPr>
            <w:tcW w:w="126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lang w:val="en-US" w:eastAsia="zh-CN" w:bidi="ar"/>
              </w:rPr>
              <w:t>标的名称</w:t>
            </w:r>
          </w:p>
        </w:tc>
        <w:tc>
          <w:tcPr>
            <w:tcW w:w="63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lang w:val="en-US" w:eastAsia="zh-CN" w:bidi="ar"/>
              </w:rPr>
              <w:t>数量</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lang w:val="en-US" w:eastAsia="zh-CN" w:bidi="ar"/>
              </w:rPr>
              <w:t>单价（元）</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lang w:val="en-US" w:eastAsia="zh-CN" w:bidi="ar"/>
              </w:rPr>
              <w:t>标的金额 （元）</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1"/>
                <w:szCs w:val="21"/>
                <w:u w:val="none"/>
              </w:rPr>
            </w:pPr>
            <w:r>
              <w:rPr>
                <w:rStyle w:val="14"/>
                <w:rFonts w:hint="eastAsia" w:ascii="宋体" w:hAnsi="宋体" w:eastAsia="宋体" w:cs="宋体"/>
                <w:lang w:val="en-US" w:eastAsia="zh-CN" w:bidi="ar"/>
              </w:rPr>
              <w:t>计量单位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6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b w:val="0"/>
                <w:bCs w:val="0"/>
                <w:sz w:val="21"/>
                <w:szCs w:val="21"/>
                <w:lang w:val="en-US" w:eastAsia="zh-CN"/>
              </w:rPr>
              <w:t>卡式灭菌器</w:t>
            </w:r>
          </w:p>
        </w:tc>
        <w:tc>
          <w:tcPr>
            <w:tcW w:w="63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80000</w:t>
            </w:r>
          </w:p>
        </w:tc>
        <w:tc>
          <w:tcPr>
            <w:tcW w:w="0" w:type="auto"/>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160000</w:t>
            </w:r>
          </w:p>
        </w:tc>
        <w:tc>
          <w:tcPr>
            <w:tcW w:w="0" w:type="auto"/>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r>
    </w:tbl>
    <w:p>
      <w:pPr>
        <w:pStyle w:val="2"/>
        <w:keepNext w:val="0"/>
        <w:keepLines w:val="0"/>
        <w:pageBreakBefore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b/>
          <w:bCs/>
          <w:sz w:val="21"/>
          <w:szCs w:val="21"/>
          <w:lang w:val="en-US" w:eastAsia="zh-CN"/>
        </w:rPr>
      </w:pPr>
    </w:p>
    <w:p>
      <w:pPr>
        <w:pStyle w:val="2"/>
        <w:keepNext w:val="0"/>
        <w:keepLines w:val="0"/>
        <w:pageBreakBefore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二、技术参数</w:t>
      </w:r>
    </w:p>
    <w:p>
      <w:pPr>
        <w:pStyle w:val="4"/>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1．★灭菌全过程时间（非包裹）≤8min；</w:t>
      </w:r>
    </w:p>
    <w:p>
      <w:pPr>
        <w:pStyle w:val="4"/>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2．即用即消毒，适用于连台手术，提高工作效率；</w:t>
      </w:r>
    </w:p>
    <w:p>
      <w:pPr>
        <w:pStyle w:val="4"/>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3．满足器械应急快速灭菌要求，解决感控难题；</w:t>
      </w:r>
    </w:p>
    <w:p>
      <w:pPr>
        <w:pStyle w:val="4"/>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4．★适用于眼科常用的超乳手柄；</w:t>
      </w:r>
    </w:p>
    <w:p>
      <w:pPr>
        <w:pStyle w:val="4"/>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5．正压脉冲排出空气达到饱和蒸汽，能够对中空和多孔器械的灭菌</w:t>
      </w:r>
    </w:p>
    <w:p>
      <w:pPr>
        <w:pStyle w:val="4"/>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6．温控精确，减少对精密眼科器械的损伤，延长器械使用寿命，降低成本；</w:t>
      </w:r>
    </w:p>
    <w:p>
      <w:pPr>
        <w:pStyle w:val="4"/>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7．满载干燥10分钟内完成；</w:t>
      </w:r>
    </w:p>
    <w:p>
      <w:pPr>
        <w:pStyle w:val="4"/>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8.灭菌内腔净容积≥1.8L</w:t>
      </w:r>
    </w:p>
    <w:p>
      <w:pPr>
        <w:pStyle w:val="4"/>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9.蓄水箱容积：≥4.0L</w:t>
      </w:r>
    </w:p>
    <w:p>
      <w:pPr>
        <w:pStyle w:val="4"/>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10.灭菌内腔长度：≥28cm</w:t>
      </w:r>
    </w:p>
    <w:p>
      <w:pPr>
        <w:pStyle w:val="4"/>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11.灭菌温度：≥134℃    </w:t>
      </w:r>
    </w:p>
    <w:p>
      <w:pPr>
        <w:pStyle w:val="4"/>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12.最高工作温度：138度   </w:t>
      </w:r>
    </w:p>
    <w:p>
      <w:pPr>
        <w:pStyle w:val="4"/>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13.后置接口:串行通信端口</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420" w:firstLineChars="0"/>
        <w:textAlignment w:val="auto"/>
        <w:rPr>
          <w:rFonts w:hint="eastAsia" w:ascii="宋体" w:hAnsi="宋体" w:eastAsia="宋体" w:cs="宋体"/>
          <w:b w:val="0"/>
          <w:bCs w:val="0"/>
          <w:sz w:val="21"/>
          <w:szCs w:val="21"/>
          <w:lang w:val="en-US" w:eastAsia="zh-CN"/>
        </w:rPr>
      </w:pPr>
    </w:p>
    <w:p>
      <w:pPr>
        <w:pStyle w:val="3"/>
        <w:keepNext w:val="0"/>
        <w:keepLines w:val="0"/>
        <w:pageBreakBefore w:val="0"/>
        <w:widowControl w:val="0"/>
        <w:kinsoku/>
        <w:wordWrap/>
        <w:overflowPunct/>
        <w:topLinePunct w:val="0"/>
        <w:autoSpaceDE/>
        <w:autoSpaceDN/>
        <w:bidi w:val="0"/>
        <w:adjustRightInd/>
        <w:snapToGrid/>
        <w:spacing w:after="0" w:line="0" w:lineRule="atLeast"/>
        <w:textAlignment w:val="auto"/>
        <w:rPr>
          <w:rFonts w:hint="eastAsia"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投标人须满足或优于以上技术要求。“★”技术条款必须满足，非“★”参数不满足条款不得多于2条。</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b/>
          <w:bCs/>
          <w:sz w:val="21"/>
          <w:szCs w:val="21"/>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b/>
          <w:bCs/>
          <w:sz w:val="21"/>
          <w:szCs w:val="21"/>
          <w:lang w:val="en-US" w:eastAsia="zh-CN"/>
        </w:rPr>
      </w:pPr>
    </w:p>
    <w:p>
      <w:pPr>
        <w:pStyle w:val="2"/>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三、商务要求：</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交货日期</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240" w:lineRule="auto"/>
        <w:ind w:firstLine="42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自合同签订之日起30日</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支付约定</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240" w:lineRule="auto"/>
        <w:ind w:firstLine="42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投标人按采购合同约定将设备送至使用科室，同时送达票据资料（票货同行）并需要安装调试的设备由投标人按采购合同清单明细完成设备安装后交使用科室、资产管理职能科室（医学工程科）进行安装验收，并分别签字确认。完成履约验收并合格后，凭票据资料采购合同资料和安装验收单到库房会计处进行入库，入库后进行付款流程，达到付款条件，次月支付90%货款。</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240" w:lineRule="auto"/>
        <w:ind w:firstLine="42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2、从履约验收起一年后，投标人再次持所有资料提起尾款，财务科固定资产会计根据资料进行尾款付款签批流程进行支付，达到付款条件，支付合同总金额的10.00%。</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line="240" w:lineRule="auto"/>
        <w:ind w:firstLine="42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3、甲方支付价款之前，乙方须向甲方出具合法有效完整的完税发票及验收凭证资料作为支付结算的必要条件，乙方未提供相应完税发票的，付款期限顺延，不视为违约；</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b/>
          <w:sz w:val="21"/>
          <w:szCs w:val="21"/>
        </w:rPr>
      </w:pPr>
      <w:r>
        <w:rPr>
          <w:rFonts w:hint="eastAsia" w:ascii="宋体" w:hAnsi="宋体" w:eastAsia="宋体" w:cs="宋体"/>
          <w:b/>
          <w:bCs/>
          <w:sz w:val="21"/>
          <w:szCs w:val="21"/>
          <w:lang w:val="en-US" w:eastAsia="zh-CN"/>
        </w:rPr>
        <w:t>质保期限：不少于2年</w:t>
      </w:r>
      <w:r>
        <w:rPr>
          <w:rFonts w:hint="eastAsia" w:ascii="宋体" w:hAnsi="宋体" w:eastAsia="宋体" w:cs="宋体"/>
          <w:sz w:val="21"/>
          <w:szCs w:val="21"/>
          <w:lang w:val="en-US" w:eastAsia="zh-CN"/>
        </w:rPr>
        <w:t>。保修期应以双方的验收合格之日（即双方签署履约验收报告单之日）起计算，保修期内更换零配件的费用由中标人承担。如达不到此要求，即相应延长保修期。</w:t>
      </w:r>
    </w:p>
    <w:p>
      <w:pPr>
        <w:pStyle w:val="2"/>
        <w:keepNext w:val="0"/>
        <w:keepLines w:val="0"/>
        <w:pageBreakBefore w:val="0"/>
        <w:widowControl w:val="0"/>
        <w:numPr>
          <w:ilvl w:val="0"/>
          <w:numId w:val="1"/>
        </w:numPr>
        <w:kinsoku/>
        <w:wordWrap/>
        <w:overflowPunct/>
        <w:topLinePunct w:val="0"/>
        <w:autoSpaceDE/>
        <w:autoSpaceDN/>
        <w:bidi w:val="0"/>
        <w:adjustRightInd/>
        <w:snapToGrid/>
        <w:spacing w:after="0" w:afterLines="0" w:line="240" w:lineRule="auto"/>
        <w:ind w:left="0" w:leftChars="0" w:firstLine="0" w:firstLineChars="0"/>
        <w:textAlignment w:val="auto"/>
        <w:rPr>
          <w:rFonts w:hint="eastAsia" w:ascii="宋体" w:hAnsi="宋体" w:eastAsia="宋体" w:cs="宋体"/>
          <w:b/>
          <w:sz w:val="21"/>
          <w:szCs w:val="21"/>
        </w:rPr>
      </w:pPr>
      <w:r>
        <w:rPr>
          <w:rFonts w:hint="eastAsia" w:ascii="宋体" w:hAnsi="宋体" w:eastAsia="宋体" w:cs="宋体"/>
          <w:b/>
          <w:sz w:val="21"/>
          <w:szCs w:val="21"/>
        </w:rPr>
        <w:t>验收标准和方法</w:t>
      </w:r>
    </w:p>
    <w:p>
      <w:pPr>
        <w:pStyle w:val="13"/>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0" w:lef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t>履约验收的主体：眉山市人民医院</w:t>
      </w:r>
      <w:r>
        <w:rPr>
          <w:rFonts w:hint="eastAsia" w:ascii="宋体" w:hAnsi="宋体" w:eastAsia="宋体" w:cs="宋体"/>
          <w:sz w:val="21"/>
          <w:szCs w:val="21"/>
          <w:lang w:eastAsia="zh-CN"/>
        </w:rPr>
        <w:t>；</w:t>
      </w:r>
    </w:p>
    <w:p>
      <w:pPr>
        <w:pStyle w:val="13"/>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0" w:lef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t>验收组织方式：自行验收</w:t>
      </w:r>
      <w:r>
        <w:rPr>
          <w:rFonts w:hint="eastAsia" w:ascii="宋体" w:hAnsi="宋体" w:eastAsia="宋体" w:cs="宋体"/>
          <w:sz w:val="21"/>
          <w:szCs w:val="21"/>
          <w:lang w:eastAsia="zh-CN"/>
        </w:rPr>
        <w:t>；</w:t>
      </w:r>
    </w:p>
    <w:p>
      <w:pPr>
        <w:pStyle w:val="13"/>
        <w:keepNext w:val="0"/>
        <w:keepLines w:val="0"/>
        <w:pageBreakBefore w:val="0"/>
        <w:widowControl/>
        <w:kinsoku/>
        <w:wordWrap/>
        <w:overflowPunct/>
        <w:topLinePunct w:val="0"/>
        <w:autoSpaceDE/>
        <w:autoSpaceDN/>
        <w:bidi w:val="0"/>
        <w:adjustRightInd/>
        <w:snapToGrid w:val="0"/>
        <w:spacing w:line="240" w:lineRule="auto"/>
        <w:ind w:left="0" w:firstLine="42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履约验收程序：一次性验收。</w:t>
      </w:r>
    </w:p>
    <w:p>
      <w:pPr>
        <w:pStyle w:val="13"/>
        <w:keepNext w:val="0"/>
        <w:keepLines w:val="0"/>
        <w:pageBreakBefore w:val="0"/>
        <w:widowControl/>
        <w:kinsoku/>
        <w:wordWrap/>
        <w:overflowPunct/>
        <w:topLinePunct w:val="0"/>
        <w:autoSpaceDE/>
        <w:autoSpaceDN/>
        <w:bidi w:val="0"/>
        <w:adjustRightInd/>
        <w:snapToGrid w:val="0"/>
        <w:spacing w:line="240" w:lineRule="auto"/>
        <w:ind w:left="0" w:firstLine="420" w:firstLine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①投标人在完成设备交货安装调试后交付给采购人试用2个月。在试用期届满前15日内应当向采购人提出履约验收申请，采购人在接到中标人的验收申请后应当在30日内组织履约验收，履约经验收合格后方视为投标人履行供货及安装合同义务符合合同约定。采购人逾期未组织履约验收或者在试用期满后未经履约验收合格继续使用的，视为投标人履行交货、安装合同义务符合合同约定。</w:t>
      </w:r>
    </w:p>
    <w:p>
      <w:pPr>
        <w:pStyle w:val="13"/>
        <w:keepNext w:val="0"/>
        <w:keepLines w:val="0"/>
        <w:pageBreakBefore w:val="0"/>
        <w:widowControl/>
        <w:kinsoku/>
        <w:wordWrap/>
        <w:overflowPunct/>
        <w:topLinePunct w:val="0"/>
        <w:autoSpaceDE/>
        <w:autoSpaceDN/>
        <w:bidi w:val="0"/>
        <w:adjustRightInd/>
        <w:snapToGrid w:val="0"/>
        <w:spacing w:line="240" w:lineRule="auto"/>
        <w:ind w:left="0" w:firstLine="420" w:firstLine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②履约验收合格，双方在履约验收报告单上签字确认。</w:t>
      </w:r>
    </w:p>
    <w:p>
      <w:pPr>
        <w:pStyle w:val="13"/>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0" w:lef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t>履约验收标准：按国家相关法律、行业标准验收。</w:t>
      </w:r>
    </w:p>
    <w:p>
      <w:pPr>
        <w:pStyle w:val="13"/>
        <w:keepNext w:val="0"/>
        <w:keepLines w:val="0"/>
        <w:pageBreakBefore w:val="0"/>
        <w:widowControl/>
        <w:numPr>
          <w:ilvl w:val="0"/>
          <w:numId w:val="0"/>
        </w:numPr>
        <w:kinsoku/>
        <w:wordWrap/>
        <w:overflowPunct/>
        <w:topLinePunct w:val="0"/>
        <w:autoSpaceDE/>
        <w:autoSpaceDN/>
        <w:bidi w:val="0"/>
        <w:adjustRightInd/>
        <w:snapToGrid w:val="0"/>
        <w:spacing w:line="240" w:lineRule="auto"/>
        <w:ind w:left="420" w:left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t>履约验收其他事项：</w:t>
      </w:r>
    </w:p>
    <w:p>
      <w:pPr>
        <w:pStyle w:val="13"/>
        <w:keepNext w:val="0"/>
        <w:keepLines w:val="0"/>
        <w:pageBreakBefore w:val="0"/>
        <w:widowControl/>
        <w:kinsoku/>
        <w:wordWrap/>
        <w:overflowPunct/>
        <w:topLinePunct w:val="0"/>
        <w:autoSpaceDE/>
        <w:autoSpaceDN/>
        <w:bidi w:val="0"/>
        <w:adjustRightInd/>
        <w:snapToGrid w:val="0"/>
        <w:spacing w:line="240" w:lineRule="auto"/>
        <w:ind w:left="0" w:firstLine="420" w:firstLineChars="0"/>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未尽事宜将按照《财政部关于进一步加强政府采购需求和履约验收管理的指导意见》(财库(2016) 205号)、《政府采购需求管理办法》(财库(2021) 22号)的要求及国家行业主管部门规定的标准、方法和内容进行验收。</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leftChars="0" w:right="0" w:firstLine="0" w:firstLineChars="0"/>
        <w:jc w:val="left"/>
        <w:textAlignment w:val="auto"/>
        <w:outlineLvl w:val="9"/>
        <w:rPr>
          <w:rFonts w:hint="default" w:ascii="仿宋_GB2312" w:hAnsi="仿宋_GB2312" w:eastAsia="仿宋_GB2312" w:cs="仿宋_GB2312"/>
          <w:sz w:val="21"/>
          <w:szCs w:val="21"/>
          <w:lang w:val="en-US" w:eastAsia="zh-CN"/>
        </w:rPr>
      </w:pPr>
      <w:r>
        <w:rPr>
          <w:rFonts w:hint="eastAsia" w:ascii="宋体" w:hAnsi="宋体" w:eastAsia="宋体" w:cs="宋体"/>
          <w:b/>
          <w:bCs/>
          <w:sz w:val="21"/>
          <w:szCs w:val="21"/>
          <w:lang w:val="en-US" w:eastAsia="zh-CN"/>
        </w:rPr>
        <w:t>注：</w:t>
      </w:r>
      <w:r>
        <w:rPr>
          <w:rFonts w:hint="eastAsia" w:ascii="宋体" w:hAnsi="宋体" w:eastAsia="宋体" w:cs="宋体"/>
          <w:b/>
          <w:bCs/>
          <w:spacing w:val="10"/>
          <w:kern w:val="2"/>
          <w:sz w:val="21"/>
          <w:szCs w:val="21"/>
          <w:lang w:val="en-US" w:eastAsia="zh-CN" w:bidi="ar-SA"/>
        </w:rPr>
        <w:t>采购需求以报名后获取的采购文件为准</w:t>
      </w:r>
    </w:p>
    <w:sectPr>
      <w:pgSz w:w="11906" w:h="16838"/>
      <w:pgMar w:top="1440" w:right="1800" w:bottom="1440" w:left="1800" w:header="851" w:footer="992" w:gutter="0"/>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55A">
      <wne:acd wne:acdName="acd0"/>
    </wne:keymap>
    <wne:keymap wne:kcmPrimary="0553">
      <wne:acd wne:acdName="acd1"/>
    </wne:keymap>
  </wne:keymaps>
  <wne:acds>
    <wne:acd wne:argValue="AgBsUYdlOgBja4dl" wne:acdName="acd0" wne:fciIndexBasedOn="0065"/>
    <wne:acd wne:argValue="AgBsUYdlOgBja4dlKAApf9uPKQ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80"/>
      </w:pPr>
      <w:r>
        <w:separator/>
      </w:r>
    </w:p>
  </w:endnote>
  <w:endnote w:type="continuationSeparator" w:id="1">
    <w:p>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80"/>
      </w:pPr>
      <w:r>
        <w:separator/>
      </w:r>
    </w:p>
  </w:footnote>
  <w:footnote w:type="continuationSeparator" w:id="1">
    <w:p>
      <w:pPr>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390501"/>
    <w:multiLevelType w:val="singleLevel"/>
    <w:tmpl w:val="0839050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NmRiMGM2YTY2MDEwODI2ODQ4ODk3NWVlYjk3ZWMifQ=="/>
  </w:docVars>
  <w:rsids>
    <w:rsidRoot w:val="00000000"/>
    <w:rsid w:val="004C7331"/>
    <w:rsid w:val="046D53F8"/>
    <w:rsid w:val="05C34E85"/>
    <w:rsid w:val="0C6211BE"/>
    <w:rsid w:val="0CA27F6D"/>
    <w:rsid w:val="109F3233"/>
    <w:rsid w:val="11003290"/>
    <w:rsid w:val="133C59D4"/>
    <w:rsid w:val="15333509"/>
    <w:rsid w:val="1EC97204"/>
    <w:rsid w:val="2067251D"/>
    <w:rsid w:val="227417D4"/>
    <w:rsid w:val="2B571EF5"/>
    <w:rsid w:val="2E8B726C"/>
    <w:rsid w:val="2F46740A"/>
    <w:rsid w:val="388C5B8C"/>
    <w:rsid w:val="391A37D2"/>
    <w:rsid w:val="41774336"/>
    <w:rsid w:val="41EA4926"/>
    <w:rsid w:val="42611561"/>
    <w:rsid w:val="4427351F"/>
    <w:rsid w:val="4454186C"/>
    <w:rsid w:val="46FC54DD"/>
    <w:rsid w:val="48CC5807"/>
    <w:rsid w:val="4A85695F"/>
    <w:rsid w:val="4C54665B"/>
    <w:rsid w:val="4D271BFF"/>
    <w:rsid w:val="4F0F2043"/>
    <w:rsid w:val="5D9634A9"/>
    <w:rsid w:val="6C7227EB"/>
    <w:rsid w:val="70776B4D"/>
    <w:rsid w:val="70A24B63"/>
    <w:rsid w:val="724D4AF9"/>
    <w:rsid w:val="7E3C7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ind w:firstLine="880" w:firstLineChars="200"/>
      <w:jc w:val="left"/>
    </w:pPr>
    <w:rPr>
      <w:rFonts w:ascii="Times New Roman" w:hAnsi="Times New Roman" w:eastAsia="仿宋_GB2312" w:cstheme="minorBidi"/>
      <w:kern w:val="2"/>
      <w:sz w:val="24"/>
      <w:szCs w:val="24"/>
      <w:lang w:val="en-US" w:eastAsia="zh-CN" w:bidi="ar-SA"/>
    </w:rPr>
  </w:style>
  <w:style w:type="paragraph" w:styleId="5">
    <w:name w:val="heading 1"/>
    <w:basedOn w:val="1"/>
    <w:next w:val="1"/>
    <w:autoRedefine/>
    <w:qFormat/>
    <w:uiPriority w:val="0"/>
    <w:pPr>
      <w:keepNext/>
      <w:keepLines/>
      <w:spacing w:beforeLines="0" w:beforeAutospacing="0" w:afterLines="0" w:afterAutospacing="0" w:line="560" w:lineRule="exact"/>
      <w:jc w:val="center"/>
      <w:outlineLvl w:val="0"/>
    </w:pPr>
    <w:rPr>
      <w:rFonts w:ascii="Times New Roman" w:hAnsi="Times New Roman" w:eastAsia="方正小标宋简体"/>
      <w:b/>
      <w:kern w:val="44"/>
      <w:sz w:val="44"/>
    </w:rPr>
  </w:style>
  <w:style w:type="paragraph" w:styleId="6">
    <w:name w:val="heading 2"/>
    <w:basedOn w:val="1"/>
    <w:next w:val="1"/>
    <w:autoRedefine/>
    <w:semiHidden/>
    <w:unhideWhenUsed/>
    <w:qFormat/>
    <w:uiPriority w:val="0"/>
    <w:pPr>
      <w:keepNext/>
      <w:keepLines/>
      <w:spacing w:before="260" w:after="260" w:line="500" w:lineRule="exact"/>
      <w:jc w:val="center"/>
      <w:outlineLvl w:val="1"/>
    </w:pPr>
    <w:rPr>
      <w:rFonts w:ascii="Arial" w:hAnsi="Arial" w:eastAsia="黑体" w:cs="Times New Roman"/>
      <w:sz w:val="36"/>
      <w:szCs w:val="20"/>
    </w:rPr>
  </w:style>
  <w:style w:type="paragraph" w:styleId="7">
    <w:name w:val="heading 3"/>
    <w:basedOn w:val="1"/>
    <w:next w:val="1"/>
    <w:autoRedefine/>
    <w:semiHidden/>
    <w:unhideWhenUsed/>
    <w:qFormat/>
    <w:uiPriority w:val="0"/>
    <w:pPr>
      <w:keepNext/>
      <w:keepLines/>
      <w:spacing w:beforeLines="0" w:beforeAutospacing="0" w:afterLines="0" w:afterAutospacing="0" w:line="560" w:lineRule="exact"/>
      <w:outlineLvl w:val="2"/>
    </w:pPr>
    <w:rPr>
      <w:rFonts w:ascii="Times New Roman" w:hAnsi="Times New Roman" w:eastAsia="楷体_GB2312"/>
      <w:b/>
      <w:sz w:val="32"/>
    </w:rPr>
  </w:style>
  <w:style w:type="paragraph" w:styleId="8">
    <w:name w:val="heading 4"/>
    <w:basedOn w:val="1"/>
    <w:next w:val="1"/>
    <w:autoRedefine/>
    <w:semiHidden/>
    <w:unhideWhenUsed/>
    <w:qFormat/>
    <w:uiPriority w:val="0"/>
    <w:pPr>
      <w:keepNext/>
      <w:keepLines/>
      <w:spacing w:before="280" w:beforeLines="0" w:beforeAutospacing="0" w:after="290" w:afterLines="0" w:afterAutospacing="0" w:line="372" w:lineRule="auto"/>
      <w:outlineLvl w:val="3"/>
    </w:pPr>
    <w:rPr>
      <w:rFonts w:ascii="Times New Roman" w:hAnsi="Times New Roman" w:eastAsia="黑体"/>
      <w:b/>
      <w:sz w:val="28"/>
    </w:rPr>
  </w:style>
  <w:style w:type="character" w:default="1" w:styleId="11">
    <w:name w:val="Default Paragraph Font"/>
    <w:autoRedefine/>
    <w:semiHidden/>
    <w:qFormat/>
    <w:uiPriority w:val="0"/>
    <w:rPr>
      <w:rFonts w:ascii="Calibri" w:hAnsi="Calibri" w:eastAsia="宋体"/>
      <w:sz w:val="18"/>
    </w:rPr>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qFormat/>
    <w:uiPriority w:val="0"/>
    <w:pPr>
      <w:spacing w:after="120" w:afterLines="0" w:afterAutospacing="0"/>
    </w:pPr>
  </w:style>
  <w:style w:type="paragraph" w:styleId="3">
    <w:name w:val="Body Text First Indent"/>
    <w:basedOn w:val="2"/>
    <w:next w:val="4"/>
    <w:autoRedefine/>
    <w:unhideWhenUsed/>
    <w:qFormat/>
    <w:uiPriority w:val="99"/>
    <w:pPr>
      <w:ind w:firstLine="420" w:firstLineChars="100"/>
    </w:pPr>
  </w:style>
  <w:style w:type="paragraph" w:customStyle="1" w:styleId="4">
    <w:name w:val="样式 正文首行缩进 + 首行缩进:  2 字符1 Char Char"/>
    <w:autoRedefine/>
    <w:qFormat/>
    <w:uiPriority w:val="0"/>
    <w:pPr>
      <w:widowControl w:val="0"/>
      <w:adjustRightInd w:val="0"/>
      <w:spacing w:line="400" w:lineRule="exact"/>
      <w:ind w:firstLine="480" w:firstLineChars="200"/>
      <w:jc w:val="both"/>
      <w:textAlignment w:val="baseline"/>
    </w:pPr>
    <w:rPr>
      <w:rFonts w:ascii="宋体" w:hAnsi="宋体" w:eastAsia="仿宋_GB2312" w:cs="宋体"/>
      <w:color w:val="000000"/>
      <w:kern w:val="2"/>
      <w:sz w:val="26"/>
      <w:szCs w:val="20"/>
      <w:lang w:val="en-US" w:eastAsia="zh-CN" w:bidi="ar-SA"/>
    </w:rPr>
  </w:style>
  <w:style w:type="paragraph" w:styleId="9">
    <w:name w:val="Normal (Web)"/>
    <w:basedOn w:val="1"/>
    <w:autoRedefine/>
    <w:unhideWhenUsed/>
    <w:qFormat/>
    <w:uiPriority w:val="99"/>
    <w:pPr>
      <w:spacing w:before="100" w:beforeAutospacing="1" w:after="100" w:afterAutospacing="1"/>
      <w:ind w:left="0" w:right="0"/>
      <w:jc w:val="left"/>
    </w:pPr>
    <w:rPr>
      <w:kern w:val="0"/>
      <w:sz w:val="24"/>
      <w:lang w:val="en-US" w:eastAsia="zh-CN" w:bidi="ar"/>
    </w:rPr>
  </w:style>
  <w:style w:type="paragraph" w:customStyle="1" w:styleId="12">
    <w:name w:val="正文4号字体"/>
    <w:basedOn w:val="1"/>
    <w:autoRedefine/>
    <w:qFormat/>
    <w:uiPriority w:val="0"/>
    <w:pPr>
      <w:keepNext/>
      <w:keepLines/>
      <w:ind w:firstLine="600" w:firstLineChars="200"/>
    </w:pPr>
    <w:rPr>
      <w:sz w:val="28"/>
    </w:rPr>
  </w:style>
  <w:style w:type="paragraph" w:customStyle="1" w:styleId="13">
    <w:name w:val="null3"/>
    <w:autoRedefine/>
    <w:hidden/>
    <w:qFormat/>
    <w:uiPriority w:val="0"/>
    <w:rPr>
      <w:rFonts w:hint="eastAsia" w:asciiTheme="minorHAnsi" w:hAnsiTheme="minorHAnsi" w:eastAsiaTheme="minorEastAsia" w:cstheme="minorBidi"/>
      <w:lang w:val="en-US" w:eastAsia="zh-Hans"/>
    </w:rPr>
  </w:style>
  <w:style w:type="character" w:customStyle="1" w:styleId="14">
    <w:name w:val="font11"/>
    <w:basedOn w:val="11"/>
    <w:autoRedefine/>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2022-11-21T05:58:00Z</dcterms:created>
  <dc:creator>Administrator</dc:creator>
  <cp:lastModifiedBy>A.勾勾勾</cp:lastModifiedBy>
  <dcterms:modified xsi:type="dcterms:W3CDTF">2024-04-26T03:33:53Z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FE1A9DCC5B6943748E5471A9BC4BB7E9</vt:lpwstr>
  </property>
</Properties>
</file>