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采购需求</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项目编号：myzhcg2023-061</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项目名称：超声电刺激光电理疗仪采购项目</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采购包1：</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评选办法：综合评分法</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采购包预算金额（元）:</w:t>
      </w:r>
      <w:r>
        <w:rPr>
          <w:rFonts w:hint="eastAsia" w:ascii="宋体" w:hAnsi="宋体" w:eastAsia="宋体" w:cs="宋体"/>
          <w:color w:val="auto"/>
          <w:sz w:val="21"/>
          <w:szCs w:val="21"/>
          <w:highlight w:val="none"/>
          <w:lang w:val="en-US" w:eastAsia="zh-CN"/>
        </w:rPr>
        <w:t>210000</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采购包最高限价（元）:</w:t>
      </w:r>
      <w:r>
        <w:rPr>
          <w:rFonts w:hint="eastAsia" w:ascii="宋体" w:hAnsi="宋体" w:eastAsia="宋体" w:cs="宋体"/>
          <w:color w:val="auto"/>
          <w:sz w:val="21"/>
          <w:szCs w:val="21"/>
          <w:highlight w:val="none"/>
          <w:lang w:val="en-US" w:eastAsia="zh-CN"/>
        </w:rPr>
        <w:t>210000</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供应商报价不允许超过标的金额</w:t>
      </w:r>
      <w:r>
        <w:rPr>
          <w:rFonts w:hint="eastAsia" w:ascii="宋体" w:hAnsi="宋体" w:eastAsia="宋体" w:cs="宋体"/>
          <w:sz w:val="21"/>
          <w:szCs w:val="21"/>
          <w:lang w:eastAsia="zh-CN"/>
        </w:rPr>
        <w:t>；</w:t>
      </w:r>
      <w:r>
        <w:rPr>
          <w:rFonts w:hint="eastAsia" w:ascii="宋体" w:hAnsi="宋体" w:eastAsia="宋体" w:cs="宋体"/>
          <w:sz w:val="21"/>
          <w:szCs w:val="21"/>
        </w:rPr>
        <w:t>供应商报价不允许超过标的单价</w:t>
      </w:r>
    </w:p>
    <w:tbl>
      <w:tblPr>
        <w:tblStyle w:val="10"/>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68"/>
        <w:gridCol w:w="1753"/>
        <w:gridCol w:w="1268"/>
        <w:gridCol w:w="1734"/>
        <w:gridCol w:w="1734"/>
        <w:gridCol w:w="12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8" w:hRule="atLeast"/>
          <w:jc w:val="center"/>
        </w:trPr>
        <w:tc>
          <w:tcPr>
            <w:tcW w:w="451"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028"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标的名称</w:t>
            </w:r>
          </w:p>
        </w:tc>
        <w:tc>
          <w:tcPr>
            <w:tcW w:w="744"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1017"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单价（元）</w:t>
            </w:r>
          </w:p>
        </w:tc>
        <w:tc>
          <w:tcPr>
            <w:tcW w:w="1017"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标的金额 （元）</w:t>
            </w:r>
          </w:p>
        </w:tc>
        <w:tc>
          <w:tcPr>
            <w:tcW w:w="740"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计量单位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2" w:hRule="atLeast"/>
          <w:jc w:val="center"/>
        </w:trPr>
        <w:tc>
          <w:tcPr>
            <w:tcW w:w="451"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28"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超声电刺激光电理疗仪</w:t>
            </w:r>
          </w:p>
        </w:tc>
        <w:tc>
          <w:tcPr>
            <w:tcW w:w="744"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17"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210000</w:t>
            </w:r>
          </w:p>
        </w:tc>
        <w:tc>
          <w:tcPr>
            <w:tcW w:w="1017"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1"/>
                <w:szCs w:val="21"/>
                <w:lang w:val="en-US"/>
              </w:rPr>
            </w:pPr>
            <w:r>
              <w:rPr>
                <w:rFonts w:hint="eastAsia" w:ascii="宋体" w:hAnsi="宋体" w:eastAsia="宋体" w:cs="宋体"/>
                <w:color w:val="auto"/>
                <w:sz w:val="21"/>
                <w:szCs w:val="21"/>
                <w:highlight w:val="none"/>
                <w:lang w:val="en-US" w:eastAsia="zh-CN"/>
              </w:rPr>
              <w:t>210000</w:t>
            </w:r>
          </w:p>
        </w:tc>
        <w:tc>
          <w:tcPr>
            <w:tcW w:w="740" w:type="pct"/>
            <w:vAlign w:val="center"/>
          </w:tcPr>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台</w:t>
            </w:r>
          </w:p>
        </w:tc>
      </w:tr>
    </w:tbl>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w:t>
      </w:r>
      <w:r>
        <w:rPr>
          <w:rFonts w:hint="eastAsia" w:ascii="宋体" w:hAnsi="宋体" w:eastAsia="宋体" w:cs="宋体"/>
          <w:sz w:val="21"/>
          <w:szCs w:val="21"/>
          <w:lang w:val="en-US" w:eastAsia="zh-CN"/>
        </w:rPr>
        <w:t>★</w:t>
      </w:r>
      <w:r>
        <w:rPr>
          <w:rFonts w:hint="eastAsia" w:ascii="宋体" w:hAnsi="宋体" w:eastAsia="宋体" w:cs="宋体"/>
          <w:sz w:val="21"/>
          <w:szCs w:val="21"/>
        </w:rPr>
        <w:t>功能要求：</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超声电刺激光电理疗仪将电疗法、超声波疗法、超声波-电疗法和光疗法等多种治疗方法集成于一台工作站，为损伤和伤病的治疗提供综合全面的解决方案，并可供多人同时使用。</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二、技术参数要求：</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大屏幕液晶显示屏</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满足患者多部位治疗或多人同时治疗的需要</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3.由超声、电疗、光疗等治疗功能组成，可进行组合治疗</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超声波治疗</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4.1 </w:t>
      </w:r>
      <w:r>
        <w:rPr>
          <w:rFonts w:hint="eastAsia" w:ascii="宋体" w:hAnsi="宋体" w:eastAsia="宋体" w:cs="宋体"/>
          <w:sz w:val="21"/>
          <w:szCs w:val="21"/>
          <w:lang w:eastAsia="zh-CN"/>
        </w:rPr>
        <w:t>▲</w:t>
      </w:r>
      <w:r>
        <w:rPr>
          <w:rFonts w:hint="eastAsia" w:ascii="宋体" w:hAnsi="宋体" w:eastAsia="宋体" w:cs="宋体"/>
          <w:sz w:val="21"/>
          <w:szCs w:val="21"/>
        </w:rPr>
        <w:t>超声头输出频率≥3种，至少包括1MHz、2MHz和3MHz</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4.2 超声头面积5cm</w:t>
      </w:r>
      <w:r>
        <w:rPr>
          <w:rFonts w:hint="eastAsia" w:ascii="宋体" w:hAnsi="宋体" w:eastAsia="宋体" w:cs="宋体"/>
          <w:sz w:val="21"/>
          <w:szCs w:val="21"/>
          <w:vertAlign w:val="superscript"/>
        </w:rPr>
        <w:t>2</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4.3 输出模式：10％，20％，50％，100%</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4.4 能量范围：0.1-2.0W/cm</w:t>
      </w:r>
      <w:r>
        <w:rPr>
          <w:rFonts w:hint="eastAsia" w:ascii="宋体" w:hAnsi="宋体" w:eastAsia="宋体" w:cs="宋体"/>
          <w:sz w:val="21"/>
          <w:szCs w:val="21"/>
          <w:vertAlign w:val="superscript"/>
        </w:rPr>
        <w:t>2</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4.5 超声头温度监控，防止超声头过热</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4.6 标配5 cm²，可选配2 cm²和10cm²超声头</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5.电疗</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5.1 独立输出通道≥3，可实现两种特定波形同时应用</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5.2 </w:t>
      </w:r>
      <w:r>
        <w:rPr>
          <w:rFonts w:hint="eastAsia" w:ascii="宋体" w:hAnsi="宋体" w:eastAsia="宋体" w:cs="宋体"/>
          <w:sz w:val="21"/>
          <w:szCs w:val="21"/>
          <w:lang w:eastAsia="zh-CN"/>
        </w:rPr>
        <w:t>▲</w:t>
      </w:r>
      <w:r>
        <w:rPr>
          <w:rFonts w:hint="eastAsia" w:ascii="宋体" w:hAnsi="宋体" w:eastAsia="宋体" w:cs="宋体"/>
          <w:sz w:val="21"/>
          <w:szCs w:val="21"/>
        </w:rPr>
        <w:t>电流波形≥6种，至少包括干扰电（IFC）、调制中频电（Premod）、双向波、俄罗斯电流、高电压、微电流</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5.3 </w:t>
      </w:r>
      <w:r>
        <w:rPr>
          <w:rFonts w:hint="eastAsia" w:ascii="宋体" w:hAnsi="宋体" w:eastAsia="宋体" w:cs="宋体"/>
          <w:sz w:val="21"/>
          <w:szCs w:val="21"/>
          <w:lang w:eastAsia="zh-CN"/>
        </w:rPr>
        <w:t>▲</w:t>
      </w:r>
      <w:r>
        <w:rPr>
          <w:rFonts w:hint="eastAsia" w:ascii="宋体" w:hAnsi="宋体" w:eastAsia="宋体" w:cs="宋体"/>
          <w:sz w:val="21"/>
          <w:szCs w:val="21"/>
        </w:rPr>
        <w:t>精确定位，通过在目标触屏上滑动手指即可移动干扰电治疗中心</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 导电效果用红黄绿色提示，用于干扰电和微电流治疗。</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6.光疗</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6.1 </w:t>
      </w:r>
      <w:r>
        <w:rPr>
          <w:rFonts w:hint="eastAsia" w:ascii="宋体" w:hAnsi="宋体" w:eastAsia="宋体" w:cs="宋体"/>
          <w:sz w:val="21"/>
          <w:szCs w:val="21"/>
          <w:lang w:eastAsia="zh-CN"/>
        </w:rPr>
        <w:t>▲</w:t>
      </w:r>
      <w:r>
        <w:rPr>
          <w:rFonts w:hint="eastAsia" w:ascii="宋体" w:hAnsi="宋体" w:eastAsia="宋体" w:cs="宋体"/>
          <w:sz w:val="21"/>
          <w:szCs w:val="21"/>
        </w:rPr>
        <w:t>光波波长≥3种，至少包括红光、红外光和蓝光，用户可自定义每个光波的打开和关闭</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6.2 光疗头治疗面积≥6cm²</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6.3光疗头发光二极管≥34个，最大输出功率≥1000mW</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6.4 专用护目眼镜≥2个</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 超声波疗法与电疗法可共同使用</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 光疗、超声波治疗和联合治疗中温度高低用蓝色绿色提示。温度达到最大值时，治疗自动暂停</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 台车</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9.1 移动型设计，带滚轮方便推动，每个脚轮可承重≥55kg</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9.2抽屉不少于三个，存放配件</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 配置超声电疗和光疗临床指导手册</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w:t>
      </w:r>
      <w:r>
        <w:rPr>
          <w:rFonts w:hint="eastAsia" w:ascii="宋体" w:hAnsi="宋体" w:eastAsia="宋体" w:cs="宋体"/>
          <w:sz w:val="21"/>
          <w:szCs w:val="21"/>
          <w:lang w:val="en-US" w:eastAsia="zh-CN"/>
        </w:rPr>
        <w:t>★</w:t>
      </w:r>
      <w:r>
        <w:rPr>
          <w:rFonts w:hint="eastAsia" w:ascii="宋体" w:hAnsi="宋体" w:eastAsia="宋体" w:cs="宋体"/>
          <w:sz w:val="21"/>
          <w:szCs w:val="21"/>
        </w:rPr>
        <w:t>产品配置要求：</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主机1台，5cm²超声波治疗头</w:t>
      </w:r>
      <w:r>
        <w:rPr>
          <w:rFonts w:hint="eastAsia" w:ascii="宋体" w:hAnsi="宋体" w:eastAsia="宋体" w:cs="宋体"/>
          <w:sz w:val="21"/>
          <w:szCs w:val="21"/>
          <w:lang w:val="en-US" w:eastAsia="zh-CN"/>
        </w:rPr>
        <w:t>≥1</w:t>
      </w:r>
      <w:r>
        <w:rPr>
          <w:rFonts w:hint="eastAsia" w:ascii="宋体" w:hAnsi="宋体" w:eastAsia="宋体" w:cs="宋体"/>
          <w:sz w:val="21"/>
          <w:szCs w:val="21"/>
        </w:rPr>
        <w:t>个，光疗探头</w:t>
      </w:r>
      <w:r>
        <w:rPr>
          <w:rFonts w:hint="eastAsia" w:ascii="宋体" w:hAnsi="宋体" w:eastAsia="宋体" w:cs="宋体"/>
          <w:sz w:val="21"/>
          <w:szCs w:val="21"/>
          <w:lang w:val="en-US" w:eastAsia="zh-CN"/>
        </w:rPr>
        <w:t>≥</w:t>
      </w:r>
      <w:r>
        <w:rPr>
          <w:rFonts w:hint="eastAsia" w:ascii="宋体" w:hAnsi="宋体" w:eastAsia="宋体" w:cs="宋体"/>
          <w:sz w:val="21"/>
          <w:szCs w:val="21"/>
        </w:rPr>
        <w:t>1个，护目眼镜</w:t>
      </w:r>
      <w:r>
        <w:rPr>
          <w:rFonts w:hint="eastAsia" w:ascii="宋体" w:hAnsi="宋体" w:eastAsia="宋体" w:cs="宋体"/>
          <w:sz w:val="21"/>
          <w:szCs w:val="21"/>
          <w:lang w:val="en-US" w:eastAsia="zh-CN"/>
        </w:rPr>
        <w:t>≥</w:t>
      </w:r>
      <w:r>
        <w:rPr>
          <w:rFonts w:hint="eastAsia" w:ascii="宋体" w:hAnsi="宋体" w:eastAsia="宋体" w:cs="宋体"/>
          <w:sz w:val="21"/>
          <w:szCs w:val="21"/>
        </w:rPr>
        <w:t>2个，超声耦合剂</w:t>
      </w:r>
      <w:r>
        <w:rPr>
          <w:rFonts w:hint="eastAsia" w:ascii="宋体" w:hAnsi="宋体" w:eastAsia="宋体" w:cs="宋体"/>
          <w:sz w:val="21"/>
          <w:szCs w:val="21"/>
          <w:lang w:val="en-US" w:eastAsia="zh-CN"/>
        </w:rPr>
        <w:t>≥</w:t>
      </w:r>
      <w:r>
        <w:rPr>
          <w:rFonts w:hint="eastAsia" w:ascii="宋体" w:hAnsi="宋体" w:eastAsia="宋体" w:cs="宋体"/>
          <w:sz w:val="21"/>
          <w:szCs w:val="21"/>
        </w:rPr>
        <w:t>1瓶，电疗导线</w:t>
      </w:r>
      <w:r>
        <w:rPr>
          <w:rFonts w:hint="eastAsia" w:ascii="宋体" w:hAnsi="宋体" w:eastAsia="宋体" w:cs="宋体"/>
          <w:sz w:val="21"/>
          <w:szCs w:val="21"/>
          <w:lang w:val="en-US" w:eastAsia="zh-CN"/>
        </w:rPr>
        <w:t>≥</w:t>
      </w:r>
      <w:r>
        <w:rPr>
          <w:rFonts w:hint="eastAsia" w:ascii="宋体" w:hAnsi="宋体" w:eastAsia="宋体" w:cs="宋体"/>
          <w:sz w:val="21"/>
          <w:szCs w:val="21"/>
        </w:rPr>
        <w:t>1组，联合治疗导线</w:t>
      </w:r>
      <w:r>
        <w:rPr>
          <w:rFonts w:hint="eastAsia" w:ascii="宋体" w:hAnsi="宋体" w:eastAsia="宋体" w:cs="宋体"/>
          <w:sz w:val="21"/>
          <w:szCs w:val="21"/>
          <w:lang w:val="en-US" w:eastAsia="zh-CN"/>
        </w:rPr>
        <w:t>≥</w:t>
      </w:r>
      <w:r>
        <w:rPr>
          <w:rFonts w:hint="eastAsia" w:ascii="宋体" w:hAnsi="宋体" w:eastAsia="宋体" w:cs="宋体"/>
          <w:sz w:val="21"/>
          <w:szCs w:val="21"/>
        </w:rPr>
        <w:t>1根，粘贴式电极</w:t>
      </w:r>
      <w:r>
        <w:rPr>
          <w:rFonts w:hint="eastAsia" w:ascii="宋体" w:hAnsi="宋体" w:eastAsia="宋体" w:cs="宋体"/>
          <w:sz w:val="21"/>
          <w:szCs w:val="21"/>
          <w:lang w:val="en-US" w:eastAsia="zh-CN"/>
        </w:rPr>
        <w:t>≥</w:t>
      </w:r>
      <w:r>
        <w:rPr>
          <w:rFonts w:hint="eastAsia" w:ascii="宋体" w:hAnsi="宋体" w:eastAsia="宋体" w:cs="宋体"/>
          <w:sz w:val="21"/>
          <w:szCs w:val="21"/>
        </w:rPr>
        <w:t>1包，电疗&amp;超声参考治疗方案1份，光疗参考治疗方案1份，台车1套</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带“</w:t>
      </w:r>
      <w:r>
        <w:rPr>
          <w:rFonts w:hint="eastAsia" w:ascii="宋体" w:hAnsi="宋体" w:eastAsia="宋体" w:cs="宋体"/>
          <w:sz w:val="21"/>
          <w:szCs w:val="21"/>
          <w:lang w:val="en-US" w:eastAsia="zh-CN"/>
        </w:rPr>
        <w:t>★</w:t>
      </w:r>
      <w:r>
        <w:rPr>
          <w:rFonts w:hint="eastAsia" w:ascii="宋体" w:hAnsi="宋体" w:eastAsia="宋体" w:cs="宋体"/>
          <w:sz w:val="21"/>
          <w:szCs w:val="21"/>
        </w:rPr>
        <w:t>”的参数需求为实质性要求，供应商必须响应并满足的参数需求。带“▲”号条款</w:t>
      </w:r>
      <w:r>
        <w:rPr>
          <w:rFonts w:hint="eastAsia" w:ascii="宋体" w:hAnsi="宋体" w:eastAsia="宋体" w:cs="宋体"/>
          <w:sz w:val="21"/>
          <w:szCs w:val="21"/>
          <w:lang w:val="en-US" w:eastAsia="zh-CN"/>
        </w:rPr>
        <w:t>与无符号条款</w:t>
      </w:r>
      <w:r>
        <w:rPr>
          <w:rFonts w:hint="eastAsia" w:ascii="宋体" w:hAnsi="宋体" w:eastAsia="宋体" w:cs="宋体"/>
          <w:sz w:val="21"/>
          <w:szCs w:val="21"/>
        </w:rPr>
        <w:t>为允许负偏离的参数需求，若未响应或者不满足，将在综合评审中予以扣分处理。</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针对“▲”条款的技术响应，投标人需提供</w:t>
      </w:r>
      <w:r>
        <w:rPr>
          <w:rFonts w:hint="eastAsia" w:ascii="宋体" w:hAnsi="宋体" w:eastAsia="宋体" w:cs="宋体"/>
          <w:sz w:val="21"/>
          <w:szCs w:val="21"/>
          <w:lang w:val="en-US" w:eastAsia="zh-CN"/>
        </w:rPr>
        <w:t>注册证（包括注册证相关资料）、产品说明书、、以及其它</w:t>
      </w:r>
      <w:r>
        <w:rPr>
          <w:rFonts w:hint="eastAsia" w:ascii="宋体" w:hAnsi="宋体" w:eastAsia="宋体" w:cs="宋体"/>
          <w:sz w:val="21"/>
          <w:szCs w:val="21"/>
        </w:rPr>
        <w:t>技术支撑材料（如产品功能截图、产品检测报告或向社会公开的产品彩页），但如果</w:t>
      </w:r>
      <w:r>
        <w:rPr>
          <w:rFonts w:hint="eastAsia" w:ascii="宋体" w:hAnsi="宋体" w:eastAsia="宋体" w:cs="宋体"/>
          <w:sz w:val="21"/>
          <w:szCs w:val="21"/>
          <w:lang w:val="en-US" w:eastAsia="zh-CN"/>
        </w:rPr>
        <w:t>招标技术参数要求</w:t>
      </w:r>
      <w:r>
        <w:rPr>
          <w:rFonts w:hint="eastAsia" w:ascii="宋体" w:hAnsi="宋体" w:eastAsia="宋体" w:cs="宋体"/>
          <w:sz w:val="21"/>
          <w:szCs w:val="21"/>
        </w:rPr>
        <w:t>中的“▲”技术条款对技术支撑材料有要求，应按要求提供，否则对应技术参数条款将视为不满足。</w:t>
      </w:r>
      <w:r>
        <w:rPr>
          <w:rFonts w:hint="eastAsia" w:ascii="宋体" w:hAnsi="宋体" w:eastAsia="宋体" w:cs="宋体"/>
          <w:b w:val="0"/>
          <w:bCs w:val="0"/>
          <w:sz w:val="21"/>
          <w:szCs w:val="21"/>
          <w:lang w:val="en-US" w:eastAsia="zh-CN"/>
        </w:rPr>
        <w:t>技术条款对应的技术支撑材料请标明位置。</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二、商务要求：</w:t>
      </w:r>
      <w:bookmarkStart w:id="0" w:name="_GoBack"/>
      <w:bookmarkEnd w:id="0"/>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交货日期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自合同签订之日起30日</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支付约定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按采购合同约定将设备送至使用科室，需要安装调试的设备由投标人按采购合同清单明细完成设备安装后交使用科室、资产管理职能科室（医学工程科）进行安装验收，并分别签字确认。完成履约验收并合格后，凭票据资料采购合同资料和安装验收单到库房会计处进行入库，入库后进行付款流程，达到付款条件，次月支付90%货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2、从履约验收起一年后，投标人再次持所有资料提起尾款，财务科固定资产会计根据资料进行尾款付款签批流程进行支付，达到付款条件，支付合同总金额的10.00%。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3、甲方支付价款之前，乙方须向甲方出具合法有效完整的完税发票及验收凭证资料作为支付结算的必要条件，乙方未提供相应完税发票的，付款期限顺延，不视为违约；</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bCs/>
          <w:sz w:val="21"/>
          <w:szCs w:val="21"/>
          <w:lang w:val="en-US" w:eastAsia="zh-CN"/>
        </w:rPr>
        <w:t>质保期限：不少于3年</w:t>
      </w:r>
      <w:r>
        <w:rPr>
          <w:rFonts w:hint="eastAsia" w:ascii="宋体" w:hAnsi="宋体" w:eastAsia="宋体" w:cs="宋体"/>
          <w:sz w:val="21"/>
          <w:szCs w:val="21"/>
          <w:lang w:val="en-US" w:eastAsia="zh-CN"/>
        </w:rPr>
        <w:t>。保修期应以双方的验收合格之日（即双方签署履约验收报告单之日）起计算，保修期内更换零配件的费用由中标人承担。</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验收标准和方法</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履约验收的主体：眉山市人民医院</w:t>
      </w:r>
      <w:r>
        <w:rPr>
          <w:rFonts w:hint="eastAsia" w:ascii="宋体" w:hAnsi="宋体" w:eastAsia="宋体" w:cs="宋体"/>
          <w:sz w:val="21"/>
          <w:szCs w:val="21"/>
          <w:lang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验收组织方式：自行验收</w:t>
      </w:r>
      <w:r>
        <w:rPr>
          <w:rFonts w:hint="eastAsia" w:ascii="宋体" w:hAnsi="宋体" w:eastAsia="宋体" w:cs="宋体"/>
          <w:sz w:val="21"/>
          <w:szCs w:val="21"/>
          <w:lang w:eastAsia="zh-CN"/>
        </w:rPr>
        <w:t>；</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履约验收程序：一次性验收。</w:t>
      </w:r>
      <w:r>
        <w:rPr>
          <w:rFonts w:hint="eastAsia" w:ascii="宋体" w:hAnsi="宋体" w:eastAsia="宋体" w:cs="宋体"/>
          <w:sz w:val="21"/>
          <w:szCs w:val="21"/>
          <w:lang w:val="en-US" w:eastAsia="zh-CN"/>
        </w:rPr>
        <w:t>①投标人在完成设备交货安装调试后交付给采购人试用2个月。在试用期届满前15日内应当向采购人提出履约验收申请，采购人在接到中标人的验收申请后在30日内组织履约验收，履约经验收合格后方视为投标人履行供货及安装合同义务符合合同约定。②履约验收合格，双方在履约验收报告单上签字确认。</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履约验收标准：按国家相关法律、行业标准验收。</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履约验收其他事项：</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未尽事宜将按照《财政部关于进一步加强政府采购需求和履约验收管理的指导意见》(财库(2016) 205号)、《政府采购需求管理办法》(财库(2021) 22号)的要求及国家行业主管部门规定的标准、方法和内容进行验收。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leftChars="0" w:firstLine="0" w:firstLineChars="0"/>
        <w:textAlignment w:val="auto"/>
        <w:rPr>
          <w:rFonts w:hint="eastAsia" w:ascii="宋体" w:hAnsi="宋体" w:eastAsia="宋体" w:cs="宋体"/>
          <w:sz w:val="21"/>
          <w:szCs w:val="21"/>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leftChars="0" w:firstLine="0" w:firstLineChars="0"/>
        <w:textAlignment w:val="auto"/>
        <w:rPr>
          <w:rFonts w:hint="eastAsia" w:ascii="宋体" w:hAnsi="宋体" w:eastAsia="宋体" w:cs="宋体"/>
          <w:sz w:val="21"/>
          <w:szCs w:val="21"/>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注：</w:t>
      </w:r>
      <w:r>
        <w:rPr>
          <w:rFonts w:hint="eastAsia" w:ascii="宋体" w:hAnsi="宋体" w:eastAsia="宋体" w:cs="宋体"/>
          <w:b/>
          <w:bCs/>
          <w:spacing w:val="10"/>
          <w:kern w:val="2"/>
          <w:sz w:val="21"/>
          <w:szCs w:val="21"/>
          <w:lang w:val="en-US" w:eastAsia="zh-CN" w:bidi="ar-SA"/>
        </w:rPr>
        <w:t>采购需求以报名后获取的采购文件为准</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90501"/>
    <w:multiLevelType w:val="singleLevel"/>
    <w:tmpl w:val="08390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NjVhOGFhMjZlNDE0NzQ3NWE4N2FmYjNlYmJiZDUifQ=="/>
  </w:docVars>
  <w:rsids>
    <w:rsidRoot w:val="00000000"/>
    <w:rsid w:val="004C7331"/>
    <w:rsid w:val="046D53F8"/>
    <w:rsid w:val="0C3B5451"/>
    <w:rsid w:val="0C505188"/>
    <w:rsid w:val="0C6211BE"/>
    <w:rsid w:val="0CA27F6D"/>
    <w:rsid w:val="109F3233"/>
    <w:rsid w:val="140B02F2"/>
    <w:rsid w:val="1EC97204"/>
    <w:rsid w:val="2067251D"/>
    <w:rsid w:val="227417D4"/>
    <w:rsid w:val="23C5488E"/>
    <w:rsid w:val="26B508AF"/>
    <w:rsid w:val="2E8B726C"/>
    <w:rsid w:val="388C5B8C"/>
    <w:rsid w:val="391A37D2"/>
    <w:rsid w:val="41774336"/>
    <w:rsid w:val="41EA4926"/>
    <w:rsid w:val="42611561"/>
    <w:rsid w:val="4427351F"/>
    <w:rsid w:val="4454186C"/>
    <w:rsid w:val="46FC54DD"/>
    <w:rsid w:val="48CC5807"/>
    <w:rsid w:val="4A85695F"/>
    <w:rsid w:val="4C54665B"/>
    <w:rsid w:val="4D271BFF"/>
    <w:rsid w:val="4D3159A8"/>
    <w:rsid w:val="4F0F2043"/>
    <w:rsid w:val="569A3030"/>
    <w:rsid w:val="639F07CF"/>
    <w:rsid w:val="6C7227EB"/>
    <w:rsid w:val="70776B4D"/>
    <w:rsid w:val="70A24B63"/>
    <w:rsid w:val="724D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left"/>
    </w:pPr>
    <w:rPr>
      <w:rFonts w:ascii="Times New Roman" w:hAnsi="Times New Roman" w:eastAsia="仿宋_GB2312" w:cstheme="minorBidi"/>
      <w:kern w:val="2"/>
      <w:sz w:val="24"/>
      <w:szCs w:val="24"/>
      <w:lang w:val="en-US" w:eastAsia="zh-CN" w:bidi="ar-SA"/>
    </w:rPr>
  </w:style>
  <w:style w:type="paragraph" w:styleId="5">
    <w:name w:val="heading 1"/>
    <w:basedOn w:val="1"/>
    <w:next w:val="1"/>
    <w:qFormat/>
    <w:uiPriority w:val="0"/>
    <w:pPr>
      <w:keepNext/>
      <w:keepLines/>
      <w:spacing w:beforeLines="0" w:beforeAutospacing="0" w:afterLines="0" w:afterAutospacing="0" w:line="560" w:lineRule="exact"/>
      <w:jc w:val="center"/>
      <w:outlineLvl w:val="0"/>
    </w:pPr>
    <w:rPr>
      <w:rFonts w:ascii="Times New Roman" w:hAnsi="Times New Roman" w:eastAsia="方正小标宋简体"/>
      <w:b/>
      <w:kern w:val="44"/>
      <w:sz w:val="44"/>
    </w:rPr>
  </w:style>
  <w:style w:type="paragraph" w:styleId="6">
    <w:name w:val="heading 2"/>
    <w:basedOn w:val="1"/>
    <w:next w:val="1"/>
    <w:semiHidden/>
    <w:unhideWhenUsed/>
    <w:qFormat/>
    <w:uiPriority w:val="0"/>
    <w:pPr>
      <w:keepNext/>
      <w:keepLines/>
      <w:spacing w:before="260" w:after="260" w:line="500" w:lineRule="exact"/>
      <w:jc w:val="center"/>
      <w:outlineLvl w:val="1"/>
    </w:pPr>
    <w:rPr>
      <w:rFonts w:ascii="Arial" w:hAnsi="Arial" w:eastAsia="黑体" w:cs="Times New Roman"/>
      <w:sz w:val="36"/>
      <w:szCs w:val="20"/>
    </w:rPr>
  </w:style>
  <w:style w:type="paragraph" w:styleId="7">
    <w:name w:val="heading 3"/>
    <w:basedOn w:val="1"/>
    <w:next w:val="1"/>
    <w:semiHidden/>
    <w:unhideWhenUsed/>
    <w:qFormat/>
    <w:uiPriority w:val="0"/>
    <w:pPr>
      <w:keepNext/>
      <w:keepLines/>
      <w:spacing w:beforeLines="0" w:beforeAutospacing="0" w:afterLines="0" w:afterAutospacing="0" w:line="560" w:lineRule="exact"/>
      <w:outlineLvl w:val="2"/>
    </w:pPr>
    <w:rPr>
      <w:rFonts w:ascii="Times New Roman" w:hAnsi="Times New Roman" w:eastAsia="楷体_GB2312"/>
      <w:b/>
      <w:sz w:val="32"/>
    </w:rPr>
  </w:style>
  <w:style w:type="paragraph" w:styleId="8">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Times New Roman" w:hAnsi="Times New Roman" w:eastAsia="黑体"/>
      <w:b/>
      <w:sz w:val="28"/>
    </w:rPr>
  </w:style>
  <w:style w:type="character" w:default="1" w:styleId="11">
    <w:name w:val="Default Paragraph Font"/>
    <w:semiHidden/>
    <w:qFormat/>
    <w:uiPriority w:val="0"/>
    <w:rPr>
      <w:rFonts w:ascii="Calibri" w:hAnsi="Calibri" w:eastAsia="宋体"/>
      <w:sz w:val="18"/>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First Indent"/>
    <w:basedOn w:val="2"/>
    <w:next w:val="4"/>
    <w:unhideWhenUsed/>
    <w:qFormat/>
    <w:uiPriority w:val="99"/>
    <w:pPr>
      <w:ind w:firstLine="420" w:firstLineChars="100"/>
    </w:pPr>
  </w:style>
  <w:style w:type="paragraph" w:customStyle="1" w:styleId="4">
    <w:name w:val="样式 正文首行缩进 + 首行缩进:  2 字符1 Char Char"/>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szCs w:val="20"/>
      <w:lang w:val="en-US" w:eastAsia="zh-CN" w:bidi="ar-SA"/>
    </w:rPr>
  </w:style>
  <w:style w:type="paragraph" w:styleId="9">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customStyle="1" w:styleId="12">
    <w:name w:val="正文4号字体"/>
    <w:basedOn w:val="1"/>
    <w:qFormat/>
    <w:uiPriority w:val="0"/>
    <w:pPr>
      <w:keepNext/>
      <w:keepLines/>
      <w:ind w:firstLine="600" w:firstLineChars="200"/>
    </w:pPr>
    <w:rPr>
      <w:sz w:val="28"/>
    </w:rPr>
  </w:style>
  <w:style w:type="paragraph" w:customStyle="1" w:styleId="13">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2022-11-21T05:58:00Z</dcterms:created>
  <dc:creator>Administrator</dc:creator>
  <cp:lastModifiedBy>A.勾勾勾</cp:lastModifiedBy>
  <dcterms:modified xsi:type="dcterms:W3CDTF">2023-12-26T03:00:54Z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CC7B75BA37BC490F8697685FBA7D9B95_13</vt:lpwstr>
  </property>
</Properties>
</file>