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firstLine="442" w:firstLineChars="200"/>
        <w:textAlignment w:val="baseline"/>
        <w:rPr>
          <w:rFonts w:hint="eastAsia" w:asciiTheme="minorEastAsia" w:hAnsiTheme="minorEastAsia" w:eastAsiaTheme="minorEastAsia"/>
          <w:b/>
          <w:szCs w:val="21"/>
        </w:rPr>
      </w:pPr>
      <w:r>
        <w:rPr>
          <w:rFonts w:hint="eastAsia" w:asciiTheme="minorEastAsia" w:hAnsiTheme="minorEastAsia" w:eastAsiaTheme="minorEastAsia"/>
          <w:b/>
          <w:szCs w:val="21"/>
        </w:rPr>
        <w:t>附件2：项目基本情况及服务要求</w:t>
      </w:r>
    </w:p>
    <w:p>
      <w:pPr>
        <w:spacing w:after="0" w:line="360" w:lineRule="auto"/>
        <w:textAlignment w:val="baseline"/>
        <w:rPr>
          <w:rFonts w:asciiTheme="minorEastAsia" w:hAnsiTheme="minorEastAsia" w:eastAsiaTheme="minorEastAsia"/>
          <w:b/>
          <w:szCs w:val="21"/>
        </w:rPr>
      </w:pPr>
      <w:r>
        <w:rPr>
          <w:rFonts w:hint="eastAsia" w:asciiTheme="minorEastAsia" w:hAnsiTheme="minorEastAsia" w:eastAsiaTheme="minorEastAsia"/>
          <w:b/>
          <w:szCs w:val="21"/>
          <w:lang w:val="en-US" w:eastAsia="zh-CN"/>
        </w:rPr>
        <w:t>一、加速器维保技术</w:t>
      </w:r>
      <w:r>
        <w:rPr>
          <w:rFonts w:hint="eastAsia" w:asciiTheme="minorEastAsia" w:hAnsiTheme="minorEastAsia" w:eastAsiaTheme="minorEastAsia"/>
          <w:b/>
          <w:szCs w:val="21"/>
        </w:rPr>
        <w:t>服务要求:</w:t>
      </w:r>
    </w:p>
    <w:p>
      <w:pPr>
        <w:pStyle w:val="10"/>
        <w:keepNext w:val="0"/>
        <w:keepLines w:val="0"/>
        <w:pageBreakBefore w:val="0"/>
        <w:widowControl/>
        <w:numPr>
          <w:ilvl w:val="0"/>
          <w:numId w:val="1"/>
        </w:numPr>
        <w:kinsoku/>
        <w:wordWrap/>
        <w:overflowPunct/>
        <w:topLinePunct w:val="0"/>
        <w:autoSpaceDE/>
        <w:autoSpaceDN/>
        <w:bidi w:val="0"/>
        <w:spacing w:after="0" w:line="360" w:lineRule="auto"/>
        <w:ind w:left="0" w:leftChars="0" w:hanging="425" w:firstLineChars="0"/>
        <w:jc w:val="both"/>
        <w:textAlignment w:val="auto"/>
        <w:outlineLvl w:val="9"/>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rPr>
        <w:t>维保类型：</w:t>
      </w:r>
      <w:r>
        <w:rPr>
          <w:rFonts w:hint="eastAsia" w:ascii="方正楷体_GB2312" w:hAnsi="方正楷体_GB2312" w:eastAsia="方正楷体_GB2312" w:cs="方正楷体_GB2312"/>
          <w:sz w:val="24"/>
          <w:szCs w:val="24"/>
          <w:lang w:val="en-US" w:eastAsia="zh-CN"/>
        </w:rPr>
        <w:t>技术保。每年不限次数的技术维修服务，不包含零配件费用。</w:t>
      </w:r>
    </w:p>
    <w:p>
      <w:pPr>
        <w:pStyle w:val="10"/>
        <w:keepNext w:val="0"/>
        <w:keepLines w:val="0"/>
        <w:pageBreakBefore w:val="0"/>
        <w:widowControl/>
        <w:numPr>
          <w:ilvl w:val="0"/>
          <w:numId w:val="1"/>
        </w:numPr>
        <w:kinsoku/>
        <w:wordWrap/>
        <w:overflowPunct/>
        <w:topLinePunct w:val="0"/>
        <w:autoSpaceDE/>
        <w:autoSpaceDN/>
        <w:bidi w:val="0"/>
        <w:spacing w:after="0" w:line="360" w:lineRule="auto"/>
        <w:ind w:left="0" w:leftChars="0" w:hanging="425" w:firstLineChars="0"/>
        <w:jc w:val="both"/>
        <w:textAlignment w:val="auto"/>
        <w:outlineLvl w:val="9"/>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rPr>
        <w:t>维保范围：Synergy直线加速器主机、X线容积影像（XVI）,IView-GT实时图像验证系统(IVGT探测板),MLC多叶光栅、控制系统、治疗床、MOSAIQ肿瘤信息管理系统、MONACO治疗计划系统，水冷系统、治疗室监控系统、激光定位系统、加速器适配的UPS电源和稳压电源。</w:t>
      </w:r>
    </w:p>
    <w:p>
      <w:pPr>
        <w:pStyle w:val="10"/>
        <w:keepNext w:val="0"/>
        <w:keepLines w:val="0"/>
        <w:pageBreakBefore w:val="0"/>
        <w:widowControl/>
        <w:numPr>
          <w:ilvl w:val="0"/>
          <w:numId w:val="1"/>
        </w:numPr>
        <w:kinsoku/>
        <w:wordWrap/>
        <w:overflowPunct/>
        <w:topLinePunct w:val="0"/>
        <w:autoSpaceDE/>
        <w:autoSpaceDN/>
        <w:bidi w:val="0"/>
        <w:spacing w:after="0" w:line="360" w:lineRule="auto"/>
        <w:ind w:left="0" w:leftChars="0" w:hanging="425" w:firstLineChars="0"/>
        <w:jc w:val="both"/>
        <w:textAlignment w:val="auto"/>
        <w:outlineLvl w:val="9"/>
        <w:rPr>
          <w:rFonts w:hint="eastAsia" w:ascii="方正楷体_GB2312" w:hAnsi="方正楷体_GB2312" w:eastAsia="方正楷体_GB2312" w:cs="方正楷体_GB2312"/>
          <w:sz w:val="24"/>
          <w:szCs w:val="24"/>
          <w:lang w:eastAsia="zh-CN"/>
        </w:rPr>
      </w:pPr>
      <w:r>
        <w:rPr>
          <w:rFonts w:hint="eastAsia" w:ascii="方正楷体_GB2312" w:hAnsi="方正楷体_GB2312" w:eastAsia="方正楷体_GB2312" w:cs="方正楷体_GB2312"/>
          <w:sz w:val="24"/>
          <w:szCs w:val="24"/>
        </w:rPr>
        <w:t>保障目标：保证开</w:t>
      </w:r>
      <w:r>
        <w:rPr>
          <w:rFonts w:hint="eastAsia" w:ascii="方正楷体_GB2312" w:hAnsi="方正楷体_GB2312" w:eastAsia="方正楷体_GB2312" w:cs="方正楷体_GB2312"/>
          <w:color w:val="auto"/>
          <w:sz w:val="24"/>
          <w:szCs w:val="24"/>
        </w:rPr>
        <w:t>机率高于9</w:t>
      </w:r>
      <w:r>
        <w:rPr>
          <w:rFonts w:hint="eastAsia" w:ascii="方正楷体_GB2312" w:hAnsi="方正楷体_GB2312" w:eastAsia="方正楷体_GB2312" w:cs="方正楷体_GB2312"/>
          <w:color w:val="auto"/>
          <w:sz w:val="24"/>
          <w:szCs w:val="24"/>
          <w:lang w:val="en-US" w:eastAsia="zh-CN"/>
        </w:rPr>
        <w:t>5</w:t>
      </w:r>
      <w:r>
        <w:rPr>
          <w:rFonts w:hint="eastAsia" w:ascii="方正楷体_GB2312" w:hAnsi="方正楷体_GB2312" w:eastAsia="方正楷体_GB2312" w:cs="方正楷体_GB2312"/>
          <w:color w:val="auto"/>
          <w:sz w:val="24"/>
          <w:szCs w:val="24"/>
        </w:rPr>
        <w:t>%，超过一</w:t>
      </w:r>
      <w:r>
        <w:rPr>
          <w:rFonts w:hint="eastAsia" w:ascii="方正楷体_GB2312" w:hAnsi="方正楷体_GB2312" w:eastAsia="方正楷体_GB2312" w:cs="方正楷体_GB2312"/>
          <w:sz w:val="24"/>
          <w:szCs w:val="24"/>
        </w:rPr>
        <w:t>天，保修期顺延</w:t>
      </w:r>
      <w:r>
        <w:rPr>
          <w:rFonts w:hint="eastAsia" w:ascii="方正楷体_GB2312" w:hAnsi="方正楷体_GB2312" w:eastAsia="方正楷体_GB2312" w:cs="方正楷体_GB2312"/>
          <w:sz w:val="24"/>
          <w:szCs w:val="24"/>
          <w:lang w:val="en-US" w:eastAsia="zh-CN"/>
        </w:rPr>
        <w:t>三</w:t>
      </w:r>
      <w:r>
        <w:rPr>
          <w:rFonts w:hint="eastAsia" w:ascii="方正楷体_GB2312" w:hAnsi="方正楷体_GB2312" w:eastAsia="方正楷体_GB2312" w:cs="方正楷体_GB2312"/>
          <w:sz w:val="24"/>
          <w:szCs w:val="24"/>
        </w:rPr>
        <w:t>天</w:t>
      </w:r>
      <w:r>
        <w:rPr>
          <w:rFonts w:hint="eastAsia" w:ascii="方正楷体_GB2312" w:hAnsi="方正楷体_GB2312" w:eastAsia="方正楷体_GB2312" w:cs="方正楷体_GB2312"/>
          <w:sz w:val="24"/>
          <w:szCs w:val="24"/>
          <w:lang w:eastAsia="zh-CN"/>
        </w:rPr>
        <w:t>。</w:t>
      </w:r>
    </w:p>
    <w:p>
      <w:pPr>
        <w:pStyle w:val="10"/>
        <w:keepNext w:val="0"/>
        <w:keepLines w:val="0"/>
        <w:pageBreakBefore w:val="0"/>
        <w:widowControl/>
        <w:numPr>
          <w:ilvl w:val="0"/>
          <w:numId w:val="1"/>
        </w:numPr>
        <w:kinsoku/>
        <w:wordWrap/>
        <w:overflowPunct/>
        <w:topLinePunct w:val="0"/>
        <w:autoSpaceDE/>
        <w:autoSpaceDN/>
        <w:bidi w:val="0"/>
        <w:spacing w:after="0" w:line="360" w:lineRule="auto"/>
        <w:ind w:left="0" w:leftChars="0" w:hanging="425" w:firstLineChars="0"/>
        <w:jc w:val="both"/>
        <w:textAlignment w:val="auto"/>
        <w:outlineLvl w:val="9"/>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sz w:val="24"/>
          <w:szCs w:val="24"/>
          <w:lang w:val="en-US" w:eastAsia="zh-CN"/>
        </w:rPr>
        <w:t>提供</w:t>
      </w:r>
      <w:r>
        <w:rPr>
          <w:rFonts w:hint="eastAsia" w:ascii="方正楷体_GB2312" w:hAnsi="方正楷体_GB2312" w:eastAsia="方正楷体_GB2312" w:cs="方正楷体_GB2312"/>
          <w:sz w:val="24"/>
          <w:szCs w:val="24"/>
        </w:rPr>
        <w:t>24小时免费服务热线技术支持；维修网络、电话、传真、邮件等技术支持；现场维修响应时间：用户维修服务响应≤2小时，到场≤24小时；疑难维修资深全球工程师协同支援。</w:t>
      </w:r>
    </w:p>
    <w:p>
      <w:pPr>
        <w:pStyle w:val="10"/>
        <w:keepNext w:val="0"/>
        <w:keepLines w:val="0"/>
        <w:pageBreakBefore w:val="0"/>
        <w:widowControl/>
        <w:numPr>
          <w:ilvl w:val="0"/>
          <w:numId w:val="1"/>
        </w:numPr>
        <w:kinsoku/>
        <w:wordWrap/>
        <w:overflowPunct/>
        <w:topLinePunct w:val="0"/>
        <w:autoSpaceDE/>
        <w:autoSpaceDN/>
        <w:bidi w:val="0"/>
        <w:spacing w:after="0" w:line="360" w:lineRule="auto"/>
        <w:ind w:left="0" w:leftChars="0" w:hanging="425" w:firstLineChars="0"/>
        <w:jc w:val="both"/>
        <w:textAlignment w:val="auto"/>
        <w:outlineLvl w:val="9"/>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sz w:val="24"/>
          <w:szCs w:val="24"/>
        </w:rPr>
        <w:t>零部件供应：</w:t>
      </w:r>
      <w:r>
        <w:rPr>
          <w:rFonts w:hint="eastAsia" w:ascii="方正楷体_GB2312" w:hAnsi="方正楷体_GB2312" w:eastAsia="方正楷体_GB2312" w:cs="方正楷体_GB2312"/>
          <w:sz w:val="24"/>
          <w:szCs w:val="24"/>
          <w:lang w:val="en-US" w:eastAsia="zh-CN"/>
        </w:rPr>
        <w:t>零部件有偿更换，</w:t>
      </w:r>
      <w:r>
        <w:rPr>
          <w:rFonts w:hint="eastAsia" w:ascii="方正楷体_GB2312" w:hAnsi="方正楷体_GB2312" w:eastAsia="方正楷体_GB2312" w:cs="方正楷体_GB2312"/>
          <w:sz w:val="24"/>
          <w:szCs w:val="24"/>
        </w:rPr>
        <w:t>所有更换的零部件必须为测试合格的全新零部件。保证所有设备零部件来源均是合法途径。并且能够提供购买相关零部件的相关证明材料。</w:t>
      </w:r>
    </w:p>
    <w:p>
      <w:pPr>
        <w:pStyle w:val="10"/>
        <w:keepNext w:val="0"/>
        <w:keepLines w:val="0"/>
        <w:pageBreakBefore w:val="0"/>
        <w:widowControl/>
        <w:numPr>
          <w:ilvl w:val="0"/>
          <w:numId w:val="1"/>
        </w:numPr>
        <w:kinsoku/>
        <w:wordWrap/>
        <w:overflowPunct/>
        <w:topLinePunct w:val="0"/>
        <w:autoSpaceDE/>
        <w:autoSpaceDN/>
        <w:bidi w:val="0"/>
        <w:spacing w:after="0" w:line="360" w:lineRule="auto"/>
        <w:ind w:left="0" w:leftChars="0" w:hanging="425" w:firstLineChars="0"/>
        <w:jc w:val="both"/>
        <w:textAlignment w:val="auto"/>
        <w:outlineLvl w:val="9"/>
        <w:rPr>
          <w:rFonts w:hint="eastAsia" w:ascii="方正楷体_GB2312" w:hAnsi="方正楷体_GB2312" w:eastAsia="方正楷体_GB2312" w:cs="方正楷体_GB2312"/>
          <w:sz w:val="24"/>
          <w:szCs w:val="24"/>
          <w:lang w:val="en-US" w:eastAsia="zh-CN"/>
        </w:rPr>
      </w:pPr>
      <w:r>
        <w:rPr>
          <w:rFonts w:hint="eastAsia" w:ascii="方正楷体_GB2312" w:hAnsi="方正楷体_GB2312" w:eastAsia="方正楷体_GB2312" w:cs="方正楷体_GB2312"/>
          <w:sz w:val="24"/>
          <w:szCs w:val="24"/>
          <w:lang w:val="en-US" w:eastAsia="zh-CN"/>
        </w:rPr>
        <w:t>配件仓储：供应商必须拥有专门用于加速器零配件存储仓库的仓库2个以上提供仓库配件清单。提供承诺书。</w:t>
      </w:r>
    </w:p>
    <w:p>
      <w:pPr>
        <w:pStyle w:val="10"/>
        <w:keepNext w:val="0"/>
        <w:keepLines w:val="0"/>
        <w:pageBreakBefore w:val="0"/>
        <w:widowControl/>
        <w:numPr>
          <w:ilvl w:val="0"/>
          <w:numId w:val="1"/>
        </w:numPr>
        <w:kinsoku/>
        <w:wordWrap/>
        <w:overflowPunct/>
        <w:topLinePunct w:val="0"/>
        <w:autoSpaceDE/>
        <w:autoSpaceDN/>
        <w:bidi w:val="0"/>
        <w:spacing w:after="0" w:line="360" w:lineRule="auto"/>
        <w:ind w:left="0" w:leftChars="0" w:hanging="425" w:firstLineChars="0"/>
        <w:jc w:val="both"/>
        <w:textAlignment w:val="auto"/>
        <w:outlineLvl w:val="9"/>
        <w:rPr>
          <w:rFonts w:hint="eastAsia" w:ascii="方正楷体_GB2312" w:hAnsi="方正楷体_GB2312" w:eastAsia="方正楷体_GB2312" w:cs="方正楷体_GB2312"/>
          <w:sz w:val="24"/>
          <w:szCs w:val="24"/>
          <w:lang w:val="en-US" w:eastAsia="zh-CN"/>
        </w:rPr>
      </w:pP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本地化：为保证维修响应，供应商需在四川拥有办公场所及加速器维修配件的仓库，需提供证明文件证明为正式办公场所。</w:t>
      </w:r>
    </w:p>
    <w:p>
      <w:pPr>
        <w:pStyle w:val="10"/>
        <w:keepNext w:val="0"/>
        <w:keepLines w:val="0"/>
        <w:pageBreakBefore w:val="0"/>
        <w:widowControl/>
        <w:numPr>
          <w:ilvl w:val="0"/>
          <w:numId w:val="1"/>
        </w:numPr>
        <w:kinsoku/>
        <w:wordWrap/>
        <w:overflowPunct/>
        <w:topLinePunct w:val="0"/>
        <w:autoSpaceDE/>
        <w:autoSpaceDN/>
        <w:bidi w:val="0"/>
        <w:spacing w:after="0" w:line="360" w:lineRule="auto"/>
        <w:ind w:left="0" w:leftChars="0" w:hanging="425" w:firstLineChars="0"/>
        <w:jc w:val="both"/>
        <w:textAlignment w:val="auto"/>
        <w:outlineLvl w:val="9"/>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rPr>
        <w:t>常用零部件12小时到现场，其它零部件不超过24小时到达现场，稀缺零部件全球调运（如加速管维修及更换）。</w:t>
      </w:r>
    </w:p>
    <w:p>
      <w:pPr>
        <w:pStyle w:val="10"/>
        <w:keepNext w:val="0"/>
        <w:keepLines w:val="0"/>
        <w:pageBreakBefore w:val="0"/>
        <w:widowControl/>
        <w:numPr>
          <w:ilvl w:val="0"/>
          <w:numId w:val="1"/>
        </w:numPr>
        <w:kinsoku/>
        <w:wordWrap/>
        <w:overflowPunct/>
        <w:topLinePunct w:val="0"/>
        <w:autoSpaceDE/>
        <w:autoSpaceDN/>
        <w:bidi w:val="0"/>
        <w:spacing w:after="0" w:line="360" w:lineRule="auto"/>
        <w:ind w:left="0" w:leftChars="0" w:hanging="425" w:firstLineChars="0"/>
        <w:jc w:val="both"/>
        <w:textAlignment w:val="auto"/>
        <w:outlineLvl w:val="9"/>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sz w:val="24"/>
          <w:szCs w:val="24"/>
        </w:rPr>
        <w:t>提供日常设备维修电话咨询，提供每年≥4次预防性维护保养。</w:t>
      </w:r>
    </w:p>
    <w:p>
      <w:pPr>
        <w:pStyle w:val="10"/>
        <w:keepNext w:val="0"/>
        <w:keepLines w:val="0"/>
        <w:pageBreakBefore w:val="0"/>
        <w:widowControl/>
        <w:numPr>
          <w:ilvl w:val="0"/>
          <w:numId w:val="1"/>
        </w:numPr>
        <w:kinsoku/>
        <w:wordWrap/>
        <w:overflowPunct/>
        <w:topLinePunct w:val="0"/>
        <w:autoSpaceDE/>
        <w:autoSpaceDN/>
        <w:bidi w:val="0"/>
        <w:spacing w:after="0" w:line="360" w:lineRule="auto"/>
        <w:ind w:left="0" w:leftChars="0" w:hanging="425" w:firstLineChars="0"/>
        <w:jc w:val="both"/>
        <w:textAlignment w:val="auto"/>
        <w:outlineLvl w:val="9"/>
        <w:rPr>
          <w:rFonts w:hint="eastAsia" w:ascii="方正楷体_GB2312" w:hAnsi="方正楷体_GB2312" w:eastAsia="方正楷体_GB2312" w:cs="方正楷体_GB2312"/>
          <w:sz w:val="24"/>
          <w:szCs w:val="24"/>
          <w:lang w:eastAsia="zh-CN"/>
        </w:rPr>
      </w:pPr>
      <w:r>
        <w:rPr>
          <w:rFonts w:ascii="宋体" w:hAnsi="宋体" w:eastAsia="宋体" w:cs="宋体"/>
          <w:sz w:val="24"/>
          <w:szCs w:val="24"/>
        </w:rPr>
        <w:t>★提供经原厂培训，并颁发资质证书的工程师名单。（需提供资</w:t>
      </w:r>
      <w:bookmarkStart w:id="0" w:name="_GoBack"/>
      <w:bookmarkEnd w:id="0"/>
      <w:r>
        <w:rPr>
          <w:rFonts w:ascii="宋体" w:hAnsi="宋体" w:eastAsia="宋体" w:cs="宋体"/>
          <w:sz w:val="24"/>
          <w:szCs w:val="24"/>
        </w:rPr>
        <w:t>质证书复印件及工程师在本单位社保缴纳证明材料。）</w:t>
      </w:r>
    </w:p>
    <w:p>
      <w:pPr>
        <w:pStyle w:val="10"/>
        <w:keepNext w:val="0"/>
        <w:keepLines w:val="0"/>
        <w:pageBreakBefore w:val="0"/>
        <w:widowControl/>
        <w:numPr>
          <w:ilvl w:val="0"/>
          <w:numId w:val="1"/>
        </w:numPr>
        <w:kinsoku/>
        <w:wordWrap/>
        <w:overflowPunct/>
        <w:topLinePunct w:val="0"/>
        <w:autoSpaceDE/>
        <w:autoSpaceDN/>
        <w:bidi w:val="0"/>
        <w:spacing w:after="0" w:line="360" w:lineRule="auto"/>
        <w:ind w:left="0" w:leftChars="0" w:hanging="425" w:firstLineChars="0"/>
        <w:jc w:val="both"/>
        <w:textAlignment w:val="auto"/>
        <w:outlineLvl w:val="9"/>
        <w:rPr>
          <w:rFonts w:hint="eastAsia" w:ascii="方正楷体_GB2312" w:hAnsi="方正楷体_GB2312" w:eastAsia="方正楷体_GB2312" w:cs="方正楷体_GB2312"/>
          <w:sz w:val="24"/>
          <w:szCs w:val="24"/>
          <w:lang w:eastAsia="zh-CN"/>
        </w:rPr>
      </w:pPr>
      <w:r>
        <w:rPr>
          <w:rFonts w:hint="eastAsia" w:ascii="方正楷体_GB2312" w:hAnsi="方正楷体_GB2312" w:eastAsia="方正楷体_GB2312" w:cs="方正楷体_GB2312"/>
          <w:sz w:val="24"/>
          <w:szCs w:val="24"/>
        </w:rPr>
        <w:t>投标人具有</w:t>
      </w:r>
      <w:r>
        <w:rPr>
          <w:rFonts w:hint="eastAsia" w:ascii="方正楷体_GB2312" w:hAnsi="方正楷体_GB2312" w:eastAsia="方正楷体_GB2312" w:cs="方正楷体_GB2312"/>
          <w:sz w:val="24"/>
          <w:szCs w:val="24"/>
          <w:lang w:val="en-US" w:eastAsia="zh-CN"/>
        </w:rPr>
        <w:t>设备维保售后等</w:t>
      </w:r>
      <w:r>
        <w:rPr>
          <w:rFonts w:hint="eastAsia" w:ascii="方正楷体_GB2312" w:hAnsi="方正楷体_GB2312" w:eastAsia="方正楷体_GB2312" w:cs="方正楷体_GB2312"/>
          <w:sz w:val="24"/>
          <w:szCs w:val="24"/>
        </w:rPr>
        <w:t>相关计算机软件著作权（提供原件扫描件加盖投标人公章）</w:t>
      </w:r>
      <w:r>
        <w:rPr>
          <w:rFonts w:hint="eastAsia" w:ascii="方正楷体_GB2312" w:hAnsi="方正楷体_GB2312" w:eastAsia="方正楷体_GB2312" w:cs="方正楷体_GB2312"/>
          <w:sz w:val="24"/>
          <w:szCs w:val="24"/>
          <w:lang w:eastAsia="zh-CN"/>
        </w:rPr>
        <w:t>。</w:t>
      </w:r>
    </w:p>
    <w:p>
      <w:pPr>
        <w:pStyle w:val="11"/>
        <w:keepNext w:val="0"/>
        <w:keepLines w:val="0"/>
        <w:pageBreakBefore w:val="0"/>
        <w:widowControl/>
        <w:numPr>
          <w:ilvl w:val="0"/>
          <w:numId w:val="1"/>
        </w:numPr>
        <w:kinsoku/>
        <w:wordWrap/>
        <w:overflowPunct/>
        <w:topLinePunct w:val="0"/>
        <w:autoSpaceDE/>
        <w:autoSpaceDN/>
        <w:bidi w:val="0"/>
        <w:spacing w:line="360" w:lineRule="auto"/>
        <w:ind w:left="0" w:leftChars="0" w:hanging="425" w:firstLineChars="0"/>
        <w:textAlignment w:val="auto"/>
        <w:outlineLvl w:val="9"/>
        <w:rPr>
          <w:rFonts w:hint="eastAsia" w:ascii="方正楷体_GB2312" w:hAnsi="方正楷体_GB2312" w:eastAsia="方正楷体_GB2312" w:cs="方正楷体_GB2312"/>
          <w:sz w:val="24"/>
          <w:szCs w:val="24"/>
          <w:lang w:val="en-US" w:eastAsia="zh-CN"/>
        </w:rPr>
      </w:pPr>
      <w:r>
        <w:rPr>
          <w:rFonts w:hint="eastAsia" w:ascii="方正楷体_GB2312" w:hAnsi="方正楷体_GB2312" w:eastAsia="方正楷体_GB2312" w:cs="方正楷体_GB2312"/>
          <w:sz w:val="24"/>
          <w:szCs w:val="24"/>
          <w:lang w:val="en-US" w:eastAsia="zh-CN"/>
        </w:rPr>
        <w:t>投标人需</w:t>
      </w:r>
      <w:r>
        <w:rPr>
          <w:rFonts w:hint="eastAsia" w:ascii="方正楷体_GB2312" w:hAnsi="方正楷体_GB2312" w:eastAsia="方正楷体_GB2312" w:cs="方正楷体_GB2312"/>
          <w:sz w:val="24"/>
          <w:szCs w:val="24"/>
        </w:rPr>
        <w:t>每年为本科室提供≥2次维修保养相关的技术培训：包括技术员，物理师，设备维修工程师等。</w:t>
      </w:r>
    </w:p>
    <w:p>
      <w:pPr>
        <w:pStyle w:val="11"/>
        <w:keepNext w:val="0"/>
        <w:keepLines w:val="0"/>
        <w:pageBreakBefore w:val="0"/>
        <w:widowControl/>
        <w:numPr>
          <w:ilvl w:val="0"/>
          <w:numId w:val="1"/>
        </w:numPr>
        <w:kinsoku/>
        <w:wordWrap/>
        <w:overflowPunct/>
        <w:topLinePunct w:val="0"/>
        <w:autoSpaceDE/>
        <w:autoSpaceDN/>
        <w:bidi w:val="0"/>
        <w:spacing w:line="360" w:lineRule="auto"/>
        <w:ind w:left="0" w:leftChars="0" w:hanging="425" w:firstLineChars="0"/>
        <w:textAlignment w:val="auto"/>
        <w:outlineLvl w:val="9"/>
        <w:rPr>
          <w:rFonts w:hint="eastAsia" w:ascii="方正楷体_GB2312" w:hAnsi="方正楷体_GB2312" w:eastAsia="方正楷体_GB2312" w:cs="方正楷体_GB2312"/>
          <w:sz w:val="24"/>
          <w:szCs w:val="24"/>
          <w:lang w:val="en-US" w:eastAsia="zh-CN"/>
        </w:rPr>
      </w:pP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培训场地：供应商需拥有提供培训的场地及同型号设备用于应用及维修技术培训，需提供证明材料证明。</w:t>
      </w:r>
    </w:p>
    <w:p>
      <w:pPr>
        <w:spacing w:after="0" w:line="360" w:lineRule="auto"/>
        <w:textAlignment w:val="baseline"/>
        <w:rPr>
          <w:rFonts w:hint="eastAsia"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二、商务要求：</w:t>
      </w:r>
    </w:p>
    <w:p>
      <w:pPr>
        <w:pStyle w:val="11"/>
        <w:keepNext w:val="0"/>
        <w:keepLines w:val="0"/>
        <w:pageBreakBefore w:val="0"/>
        <w:widowControl/>
        <w:numPr>
          <w:ilvl w:val="0"/>
          <w:numId w:val="0"/>
        </w:numPr>
        <w:kinsoku/>
        <w:wordWrap/>
        <w:overflowPunct/>
        <w:topLinePunct w:val="0"/>
        <w:autoSpaceDE/>
        <w:autoSpaceDN/>
        <w:bidi w:val="0"/>
        <w:spacing w:line="360" w:lineRule="auto"/>
        <w:ind w:left="0" w:leftChars="0"/>
        <w:textAlignment w:val="auto"/>
        <w:outlineLvl w:val="9"/>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sz w:val="24"/>
          <w:szCs w:val="24"/>
        </w:rPr>
        <w:t>1.服务期限：</w:t>
      </w:r>
      <w:r>
        <w:rPr>
          <w:rFonts w:hint="eastAsia" w:ascii="方正楷体_GB2312" w:hAnsi="方正楷体_GB2312" w:eastAsia="方正楷体_GB2312" w:cs="方正楷体_GB2312"/>
          <w:sz w:val="24"/>
          <w:szCs w:val="24"/>
          <w:lang w:val="en-US" w:eastAsia="zh-CN"/>
        </w:rPr>
        <w:t>3</w:t>
      </w:r>
      <w:r>
        <w:rPr>
          <w:rFonts w:hint="eastAsia" w:ascii="方正楷体_GB2312" w:hAnsi="方正楷体_GB2312" w:eastAsia="方正楷体_GB2312" w:cs="方正楷体_GB2312"/>
          <w:sz w:val="24"/>
          <w:szCs w:val="24"/>
        </w:rPr>
        <w:t>年。</w:t>
      </w:r>
    </w:p>
    <w:p>
      <w:pPr>
        <w:pStyle w:val="11"/>
        <w:keepNext w:val="0"/>
        <w:keepLines w:val="0"/>
        <w:pageBreakBefore w:val="0"/>
        <w:widowControl/>
        <w:numPr>
          <w:ilvl w:val="0"/>
          <w:numId w:val="0"/>
        </w:numPr>
        <w:kinsoku/>
        <w:wordWrap/>
        <w:overflowPunct/>
        <w:topLinePunct w:val="0"/>
        <w:autoSpaceDE/>
        <w:autoSpaceDN/>
        <w:bidi w:val="0"/>
        <w:spacing w:line="360" w:lineRule="auto"/>
        <w:ind w:left="0" w:leftChars="0"/>
        <w:textAlignment w:val="auto"/>
        <w:outlineLvl w:val="9"/>
        <w:rPr>
          <w:rFonts w:cs="仿宋" w:asciiTheme="minorEastAsia" w:hAnsiTheme="minorEastAsia" w:eastAsiaTheme="minorEastAsia"/>
          <w:color w:val="000000"/>
          <w:szCs w:val="21"/>
        </w:rPr>
      </w:pPr>
      <w:r>
        <w:rPr>
          <w:rFonts w:hint="eastAsia" w:ascii="方正楷体_GB2312" w:hAnsi="方正楷体_GB2312" w:eastAsia="方正楷体_GB2312" w:cs="方正楷体_GB2312"/>
          <w:sz w:val="24"/>
          <w:szCs w:val="24"/>
        </w:rPr>
        <w:t>2.服务地点：医院指定地点</w:t>
      </w:r>
      <w:r>
        <w:rPr>
          <w:rFonts w:hint="eastAsia" w:cs="仿宋" w:asciiTheme="minorEastAsia" w:hAnsiTheme="minorEastAsia" w:eastAsiaTheme="minorEastAsia"/>
          <w:color w:val="000000"/>
          <w:szCs w:val="21"/>
        </w:rPr>
        <w:t>。</w:t>
      </w:r>
    </w:p>
    <w:p>
      <w:pPr>
        <w:spacing w:line="220" w:lineRule="atLeast"/>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楷体_GB2312">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CCAD2"/>
    <w:multiLevelType w:val="singleLevel"/>
    <w:tmpl w:val="8F1CCAD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46487C"/>
    <w:rsid w:val="007C02A0"/>
    <w:rsid w:val="008B7726"/>
    <w:rsid w:val="009C2A79"/>
    <w:rsid w:val="00B70F5A"/>
    <w:rsid w:val="00D25BAC"/>
    <w:rsid w:val="00D31D50"/>
    <w:rsid w:val="00FA48CB"/>
    <w:rsid w:val="00FC69D1"/>
    <w:rsid w:val="00FD5D6F"/>
    <w:rsid w:val="41B17D33"/>
    <w:rsid w:val="4DBE1F5F"/>
    <w:rsid w:val="62C77C33"/>
    <w:rsid w:val="7EE3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semiHidden/>
    <w:qFormat/>
    <w:uiPriority w:val="0"/>
    <w:pPr>
      <w:snapToGrid w:val="0"/>
      <w:jc w:val="left"/>
    </w:pPr>
  </w:style>
  <w:style w:type="paragraph" w:styleId="3">
    <w:name w:val="Normal Indent"/>
    <w:basedOn w:val="1"/>
    <w:qFormat/>
    <w:uiPriority w:val="0"/>
    <w:pPr>
      <w:widowControl w:val="0"/>
      <w:adjustRightInd/>
      <w:snapToGrid/>
      <w:spacing w:after="160" w:line="259" w:lineRule="auto"/>
      <w:ind w:firstLine="200" w:firstLineChars="200"/>
      <w:jc w:val="both"/>
    </w:pPr>
    <w:rPr>
      <w:rFonts w:ascii="Calibri" w:hAnsi="Calibri" w:eastAsia="宋体" w:cs="Times New Roman"/>
      <w:kern w:val="2"/>
      <w:sz w:val="21"/>
      <w:szCs w:val="24"/>
    </w:rPr>
  </w:style>
  <w:style w:type="paragraph" w:styleId="4">
    <w:name w:val="footer"/>
    <w:basedOn w:val="1"/>
    <w:link w:val="9"/>
    <w:semiHidden/>
    <w:unhideWhenUsed/>
    <w:qFormat/>
    <w:uiPriority w:val="99"/>
    <w:pPr>
      <w:tabs>
        <w:tab w:val="center" w:pos="4153"/>
        <w:tab w:val="right" w:pos="8306"/>
      </w:tabs>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6"/>
    <w:link w:val="5"/>
    <w:semiHidden/>
    <w:uiPriority w:val="99"/>
    <w:rPr>
      <w:rFonts w:ascii="Tahoma" w:hAnsi="Tahoma"/>
      <w:sz w:val="18"/>
      <w:szCs w:val="18"/>
    </w:rPr>
  </w:style>
  <w:style w:type="character" w:customStyle="1" w:styleId="9">
    <w:name w:val="页脚 Char"/>
    <w:basedOn w:val="6"/>
    <w:link w:val="4"/>
    <w:semiHidden/>
    <w:qFormat/>
    <w:uiPriority w:val="99"/>
    <w:rPr>
      <w:rFonts w:ascii="Tahoma" w:hAnsi="Tahoma"/>
      <w:sz w:val="18"/>
      <w:szCs w:val="18"/>
    </w:rPr>
  </w:style>
  <w:style w:type="paragraph" w:customStyle="1" w:styleId="10">
    <w:name w:val="null3"/>
    <w:basedOn w:val="1"/>
    <w:qFormat/>
    <w:uiPriority w:val="0"/>
    <w:pPr>
      <w:widowControl/>
      <w:jc w:val="left"/>
    </w:pPr>
    <w:rPr>
      <w:rFonts w:ascii="Calibri" w:hAnsi="Calibri" w:eastAsia="宋体" w:cs="Times New Roman"/>
      <w:kern w:val="0"/>
      <w:sz w:val="24"/>
      <w:szCs w:val="24"/>
    </w:rPr>
  </w:style>
  <w:style w:type="paragraph" w:customStyle="1" w:styleId="11">
    <w:name w:val="Normal"/>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130</Words>
  <Characters>741</Characters>
  <Lines>6</Lines>
  <Paragraphs>1</Paragraphs>
  <TotalTime>7</TotalTime>
  <ScaleCrop>false</ScaleCrop>
  <LinksUpToDate>false</LinksUpToDate>
  <CharactersWithSpaces>870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昏昏</cp:lastModifiedBy>
  <dcterms:modified xsi:type="dcterms:W3CDTF">2022-12-27T09:33:29Z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